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黑体" w:hAnsi="华文黑体" w:eastAsia="华文黑体" w:cs="华文黑体"/>
          <w:b/>
          <w:bCs/>
          <w:sz w:val="48"/>
          <w:szCs w:val="56"/>
        </w:rPr>
      </w:pPr>
      <w:bookmarkStart w:id="0" w:name="_GoBack"/>
      <w:bookmarkEnd w:id="0"/>
      <w:r>
        <w:rPr>
          <w:rFonts w:hint="eastAsia" w:ascii="华文黑体" w:hAnsi="华文黑体" w:eastAsia="华文黑体" w:cs="华文黑体"/>
          <w:b/>
          <w:bCs/>
          <w:sz w:val="48"/>
          <w:szCs w:val="56"/>
        </w:rPr>
        <w:t>清大高级工商管理(建筑业)总裁研修班</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黑体" w:hAnsi="华文黑体" w:eastAsia="华文黑体" w:cs="华文黑体"/>
          <w:b/>
          <w:bCs/>
          <w:sz w:val="52"/>
          <w:szCs w:val="72"/>
        </w:rPr>
      </w:pPr>
      <w:r>
        <w:rPr>
          <w:rFonts w:hint="eastAsia" w:ascii="华文黑体" w:hAnsi="华文黑体" w:eastAsia="华文黑体" w:cs="华文黑体"/>
          <w:b/>
          <w:bCs/>
          <w:sz w:val="52"/>
          <w:szCs w:val="72"/>
        </w:rPr>
        <w:t>招 生 简 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7030A0"/>
          <w:sz w:val="24"/>
          <w:szCs w:val="32"/>
        </w:rPr>
      </w:pPr>
      <w:r>
        <w:rPr>
          <w:rFonts w:hint="eastAsia"/>
          <w:b/>
          <w:bCs/>
          <w:color w:val="7030A0"/>
          <w:sz w:val="24"/>
          <w:szCs w:val="32"/>
        </w:rPr>
        <w:drawing>
          <wp:anchor distT="0" distB="0" distL="114300" distR="114300" simplePos="0" relativeHeight="251658240" behindDoc="0" locked="0" layoutInCell="1" allowOverlap="1">
            <wp:simplePos x="0" y="0"/>
            <wp:positionH relativeFrom="column">
              <wp:posOffset>-48260</wp:posOffset>
            </wp:positionH>
            <wp:positionV relativeFrom="paragraph">
              <wp:posOffset>26670</wp:posOffset>
            </wp:positionV>
            <wp:extent cx="4853940" cy="541020"/>
            <wp:effectExtent l="0" t="0" r="0" b="0"/>
            <wp:wrapNone/>
            <wp:docPr id="1" name="图片 2" descr="课程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课程背景"/>
                    <pic:cNvPicPr>
                      <a:picLocks noChangeAspect="1"/>
                    </pic:cNvPicPr>
                  </pic:nvPicPr>
                  <pic:blipFill>
                    <a:blip r:embed="rId6"/>
                    <a:stretch>
                      <a:fillRect/>
                    </a:stretch>
                  </pic:blipFill>
                  <pic:spPr>
                    <a:xfrm>
                      <a:off x="0" y="0"/>
                      <a:ext cx="4853940" cy="54102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7030A0"/>
          <w:sz w:val="24"/>
          <w:szCs w:val="32"/>
        </w:rPr>
      </w:pPr>
    </w:p>
    <w:p>
      <w:pPr>
        <w:keepNext w:val="0"/>
        <w:keepLines w:val="0"/>
        <w:pageBreakBefore w:val="0"/>
        <w:widowControl w:val="0"/>
        <w:kinsoku/>
        <w:wordWrap/>
        <w:overflowPunct/>
        <w:topLinePunct w:val="0"/>
        <w:autoSpaceDE/>
        <w:autoSpaceDN/>
        <w:bidi w:val="0"/>
        <w:adjustRightInd/>
        <w:snapToGrid/>
        <w:spacing w:line="480" w:lineRule="auto"/>
        <w:ind w:firstLine="440" w:firstLineChars="200"/>
        <w:textAlignment w:val="auto"/>
        <w:rPr>
          <w:rFonts w:hint="eastAsia"/>
          <w:sz w:val="22"/>
          <w:szCs w:val="28"/>
        </w:rPr>
      </w:pPr>
      <w:r>
        <w:rPr>
          <w:rFonts w:hint="eastAsia"/>
          <w:sz w:val="22"/>
          <w:szCs w:val="28"/>
          <w:lang w:eastAsia="zh-CN"/>
        </w:rPr>
        <w:t>新的时代面临新的征程，机遇与挑战并存</w:t>
      </w:r>
      <w:r>
        <w:rPr>
          <w:rFonts w:hint="eastAsia"/>
          <w:sz w:val="22"/>
          <w:szCs w:val="28"/>
        </w:rPr>
        <w:t>！在国家大力推行的“走出去”和“一带一路”战略倡导下，在行业内面临着转型升级的新形式下，我们将和中国的建筑企业家们，一道学习建筑</w:t>
      </w:r>
      <w:r>
        <w:rPr>
          <w:rFonts w:hint="eastAsia"/>
          <w:sz w:val="22"/>
          <w:szCs w:val="28"/>
          <w:lang w:eastAsia="zh-CN"/>
        </w:rPr>
        <w:t>企业</w:t>
      </w:r>
      <w:r>
        <w:rPr>
          <w:rFonts w:hint="eastAsia"/>
          <w:sz w:val="22"/>
          <w:szCs w:val="28"/>
        </w:rPr>
        <w:t>转型升级</w:t>
      </w:r>
      <w:r>
        <w:rPr>
          <w:rFonts w:hint="eastAsia"/>
          <w:sz w:val="22"/>
          <w:szCs w:val="28"/>
          <w:lang w:eastAsia="zh-CN"/>
        </w:rPr>
        <w:t>、大数据分析及智慧建筑应用</w:t>
      </w:r>
      <w:r>
        <w:rPr>
          <w:rFonts w:hint="eastAsia"/>
          <w:sz w:val="22"/>
          <w:szCs w:val="28"/>
        </w:rPr>
        <w:t>，解决企业内部管理系统</w:t>
      </w:r>
      <w:r>
        <w:rPr>
          <w:rFonts w:hint="eastAsia"/>
          <w:sz w:val="22"/>
          <w:szCs w:val="28"/>
          <w:lang w:eastAsia="zh-CN"/>
        </w:rPr>
        <w:t>升级、战略发展、人才管控、降低项目成本、</w:t>
      </w:r>
      <w:r>
        <w:rPr>
          <w:rFonts w:hint="eastAsia"/>
          <w:sz w:val="22"/>
          <w:szCs w:val="28"/>
        </w:rPr>
        <w:t>突破融资瓶颈等问题，我们将引领突破建筑业发展种种困局，提供审时度势的企业家战略学习机会，为企业在战略定位中找到合理的位置！如何在强手林立的国内外环境中求得生存，这已是摆在我们面前的课题。二十一世纪的建筑企业家要继续保持持续的竞争优势，必须掌握最先进的管理理论，洞悉最新的宏观经济形势。</w:t>
      </w:r>
    </w:p>
    <w:p>
      <w:pPr>
        <w:keepNext w:val="0"/>
        <w:keepLines w:val="0"/>
        <w:pageBreakBefore w:val="0"/>
        <w:widowControl w:val="0"/>
        <w:kinsoku/>
        <w:wordWrap/>
        <w:overflowPunct/>
        <w:topLinePunct w:val="0"/>
        <w:autoSpaceDE/>
        <w:autoSpaceDN/>
        <w:bidi w:val="0"/>
        <w:adjustRightInd/>
        <w:snapToGrid/>
        <w:spacing w:line="480" w:lineRule="auto"/>
        <w:ind w:firstLine="440" w:firstLineChars="200"/>
        <w:textAlignment w:val="auto"/>
        <w:rPr>
          <w:rFonts w:hint="eastAsia"/>
          <w:sz w:val="22"/>
          <w:szCs w:val="28"/>
        </w:rPr>
      </w:pPr>
      <w:r>
        <w:rPr>
          <w:rFonts w:hint="eastAsia"/>
          <w:sz w:val="22"/>
          <w:szCs w:val="28"/>
        </w:rPr>
        <w:t>“清大高级工商管理(建筑业)总裁研修班”以高端人才培养为己任，以秉承“匠心为科、厚德在行”为宗旨。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2"/>
          <w:szCs w:val="28"/>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-140970</wp:posOffset>
            </wp:positionH>
            <wp:positionV relativeFrom="paragraph">
              <wp:posOffset>59690</wp:posOffset>
            </wp:positionV>
            <wp:extent cx="5011420" cy="558165"/>
            <wp:effectExtent l="0" t="0" r="0" b="0"/>
            <wp:wrapNone/>
            <wp:docPr id="2" name="图片 3" descr="C:\Users\Administrator\Desktop\培养目标.png培养目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strator\Desktop\培养目标.png培养目标"/>
                    <pic:cNvPicPr>
                      <a:picLocks noChangeAspect="1"/>
                    </pic:cNvPicPr>
                  </pic:nvPicPr>
                  <pic:blipFill>
                    <a:blip r:embed="rId7"/>
                    <a:stretch>
                      <a:fillRect/>
                    </a:stretch>
                  </pic:blipFill>
                  <pic:spPr>
                    <a:xfrm>
                      <a:off x="0" y="0"/>
                      <a:ext cx="5011420" cy="55816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2"/>
          <w:szCs w:val="28"/>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20" w:firstLineChars="100"/>
        <w:textAlignment w:val="auto"/>
        <w:rPr>
          <w:rFonts w:hint="eastAsia"/>
          <w:sz w:val="22"/>
          <w:szCs w:val="28"/>
          <w:lang w:eastAsia="zh-CN"/>
        </w:rPr>
      </w:pPr>
      <w:r>
        <w:rPr>
          <w:rFonts w:hint="eastAsia"/>
          <w:sz w:val="22"/>
          <w:szCs w:val="28"/>
          <w:lang w:eastAsia="zh-CN"/>
        </w:rPr>
        <w:t>专为中国建筑业杰出企业家设计，其目标在于塑造卓越的建筑业企业领袖，搭建建筑业专家顾问团，建设一个建筑业全员学习交流平台，共建建筑业大学堂。</w:t>
      </w:r>
    </w:p>
    <w:p>
      <w:pPr>
        <w:keepNext w:val="0"/>
        <w:keepLines w:val="0"/>
        <w:pageBreakBefore w:val="0"/>
        <w:widowControl w:val="0"/>
        <w:kinsoku/>
        <w:wordWrap/>
        <w:overflowPunct/>
        <w:topLinePunct w:val="0"/>
        <w:autoSpaceDE/>
        <w:autoSpaceDN/>
        <w:bidi w:val="0"/>
        <w:adjustRightInd/>
        <w:snapToGrid/>
        <w:spacing w:line="360" w:lineRule="auto"/>
        <w:ind w:firstLine="220" w:firstLineChars="100"/>
        <w:textAlignment w:val="auto"/>
        <w:rPr>
          <w:rFonts w:hint="eastAsia"/>
          <w:sz w:val="22"/>
          <w:szCs w:val="28"/>
          <w:lang w:eastAsia="zh-CN"/>
        </w:rPr>
      </w:pPr>
      <w:r>
        <w:rPr>
          <w:rFonts w:hint="eastAsia" w:eastAsia="宋体"/>
          <w:sz w:val="22"/>
          <w:szCs w:val="28"/>
          <w:lang w:eastAsia="zh-CN"/>
        </w:rPr>
        <w:drawing>
          <wp:anchor distT="0" distB="0" distL="114300" distR="114300" simplePos="0" relativeHeight="251662336" behindDoc="1" locked="0" layoutInCell="1" allowOverlap="1">
            <wp:simplePos x="0" y="0"/>
            <wp:positionH relativeFrom="column">
              <wp:posOffset>-114300</wp:posOffset>
            </wp:positionH>
            <wp:positionV relativeFrom="paragraph">
              <wp:posOffset>229870</wp:posOffset>
            </wp:positionV>
            <wp:extent cx="5044440" cy="561975"/>
            <wp:effectExtent l="0" t="0" r="0" b="0"/>
            <wp:wrapThrough wrapText="bothSides">
              <wp:wrapPolygon>
                <wp:start x="21592" y="-2"/>
                <wp:lineTo x="0" y="0"/>
                <wp:lineTo x="0" y="21600"/>
                <wp:lineTo x="21592" y="21602"/>
                <wp:lineTo x="8" y="21602"/>
                <wp:lineTo x="21600" y="21600"/>
                <wp:lineTo x="21600" y="0"/>
                <wp:lineTo x="8" y="-2"/>
                <wp:lineTo x="21592" y="-2"/>
              </wp:wrapPolygon>
            </wp:wrapThrough>
            <wp:docPr id="5" name="图片 7" descr="培养对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培养对象"/>
                    <pic:cNvPicPr>
                      <a:picLocks noChangeAspect="1"/>
                    </pic:cNvPicPr>
                  </pic:nvPicPr>
                  <pic:blipFill>
                    <a:blip r:embed="rId8"/>
                    <a:stretch>
                      <a:fillRect/>
                    </a:stretch>
                  </pic:blipFill>
                  <pic:spPr>
                    <a:xfrm>
                      <a:off x="0" y="0"/>
                      <a:ext cx="5044440" cy="5619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eastAsia="宋体"/>
          <w:sz w:val="22"/>
          <w:szCs w:val="28"/>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2"/>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20" w:firstLineChars="100"/>
        <w:textAlignment w:val="auto"/>
        <w:rPr>
          <w:rFonts w:hint="eastAsia"/>
          <w:sz w:val="22"/>
          <w:szCs w:val="28"/>
          <w:lang w:eastAsia="zh-CN"/>
        </w:rPr>
      </w:pPr>
      <w:r>
        <w:rPr>
          <w:rFonts w:hint="eastAsia"/>
          <w:sz w:val="22"/>
          <w:szCs w:val="28"/>
          <w:lang w:val="en-US" w:eastAsia="zh-CN"/>
        </w:rPr>
        <w:t>1.</w:t>
      </w:r>
      <w:r>
        <w:rPr>
          <w:rFonts w:hint="eastAsia"/>
          <w:sz w:val="22"/>
          <w:szCs w:val="28"/>
          <w:lang w:eastAsia="zh-CN"/>
        </w:rPr>
        <w:t>房屋建筑及装饰工程企业；园林绿化工程企业；新型建材企业；</w:t>
      </w:r>
    </w:p>
    <w:p>
      <w:pPr>
        <w:keepNext w:val="0"/>
        <w:keepLines w:val="0"/>
        <w:pageBreakBefore w:val="0"/>
        <w:widowControl w:val="0"/>
        <w:kinsoku/>
        <w:wordWrap/>
        <w:overflowPunct/>
        <w:topLinePunct w:val="0"/>
        <w:autoSpaceDE/>
        <w:autoSpaceDN/>
        <w:bidi w:val="0"/>
        <w:adjustRightInd/>
        <w:snapToGrid/>
        <w:spacing w:line="360" w:lineRule="auto"/>
        <w:ind w:firstLine="220" w:firstLineChars="100"/>
        <w:textAlignment w:val="auto"/>
        <w:rPr>
          <w:rFonts w:hint="eastAsia"/>
          <w:sz w:val="22"/>
          <w:szCs w:val="28"/>
          <w:lang w:eastAsia="zh-CN"/>
        </w:rPr>
      </w:pPr>
      <w:r>
        <w:rPr>
          <w:rFonts w:hint="eastAsia"/>
          <w:sz w:val="22"/>
          <w:szCs w:val="28"/>
          <w:lang w:val="en-US" w:eastAsia="zh-CN"/>
        </w:rPr>
        <w:t>2.</w:t>
      </w:r>
      <w:r>
        <w:rPr>
          <w:rFonts w:hint="eastAsia"/>
          <w:sz w:val="22"/>
          <w:szCs w:val="28"/>
          <w:lang w:eastAsia="zh-CN"/>
        </w:rPr>
        <w:t>公路与桥梁工程企业；港口与航道工程施工企业；</w:t>
      </w:r>
    </w:p>
    <w:p>
      <w:pPr>
        <w:keepNext w:val="0"/>
        <w:keepLines w:val="0"/>
        <w:pageBreakBefore w:val="0"/>
        <w:widowControl w:val="0"/>
        <w:kinsoku/>
        <w:wordWrap/>
        <w:overflowPunct/>
        <w:topLinePunct w:val="0"/>
        <w:autoSpaceDE/>
        <w:autoSpaceDN/>
        <w:bidi w:val="0"/>
        <w:adjustRightInd/>
        <w:snapToGrid/>
        <w:spacing w:line="360" w:lineRule="auto"/>
        <w:ind w:firstLine="220" w:firstLineChars="100"/>
        <w:textAlignment w:val="auto"/>
        <w:rPr>
          <w:rFonts w:hint="eastAsia"/>
          <w:sz w:val="22"/>
          <w:szCs w:val="28"/>
          <w:lang w:eastAsia="zh-CN"/>
        </w:rPr>
      </w:pPr>
      <w:r>
        <w:rPr>
          <w:rFonts w:hint="eastAsia"/>
          <w:sz w:val="22"/>
          <w:szCs w:val="28"/>
          <w:lang w:val="en-US" w:eastAsia="zh-CN"/>
        </w:rPr>
        <w:t>3.</w:t>
      </w:r>
      <w:r>
        <w:rPr>
          <w:rFonts w:hint="eastAsia"/>
          <w:sz w:val="22"/>
          <w:szCs w:val="28"/>
          <w:lang w:eastAsia="zh-CN"/>
        </w:rPr>
        <w:t>水利水电工程企业；电力工程企业；矿山工程企业；化工石油工程企业；冶炼工程企业；铁路工程企业；通信工程企业及其他工程相关企业；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sz w:val="22"/>
          <w:szCs w:val="28"/>
          <w:lang w:eastAsia="zh-CN"/>
        </w:rPr>
        <w:t>以上建筑及相关企业的董事长、总裁、总经理等高级管理人员。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-167640</wp:posOffset>
            </wp:positionH>
            <wp:positionV relativeFrom="paragraph">
              <wp:posOffset>46355</wp:posOffset>
            </wp:positionV>
            <wp:extent cx="4806950" cy="535940"/>
            <wp:effectExtent l="0" t="0" r="6350" b="10160"/>
            <wp:wrapNone/>
            <wp:docPr id="3" name="图片 5" descr="入学条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入学条件"/>
                    <pic:cNvPicPr>
                      <a:picLocks noChangeAspect="1"/>
                    </pic:cNvPicPr>
                  </pic:nvPicPr>
                  <pic:blipFill>
                    <a:blip r:embed="rId9"/>
                    <a:stretch>
                      <a:fillRect/>
                    </a:stretch>
                  </pic:blipFill>
                  <pic:spPr>
                    <a:xfrm>
                      <a:off x="0" y="0"/>
                      <a:ext cx="4806950" cy="53594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rPr>
      </w:pPr>
      <w:r>
        <w:rPr>
          <w:rFonts w:hint="eastAsia"/>
          <w:b/>
          <w:bCs/>
        </w:rPr>
        <w:t>大专学历以上；企业副总经理以上（含）；企业全面管理工作经验五年以上。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lang w:eastAsia="zh-CN"/>
        </w:rPr>
      </w:pPr>
      <w:r>
        <w:rPr>
          <w:rFonts w:hint="eastAsia" w:eastAsia="宋体"/>
          <w:b/>
          <w:bCs/>
          <w:lang w:eastAsia="zh-CN"/>
        </w:rPr>
        <w:drawing>
          <wp:anchor distT="0" distB="0" distL="114300" distR="114300" simplePos="0" relativeHeight="251661312" behindDoc="0" locked="0" layoutInCell="1" allowOverlap="1">
            <wp:simplePos x="0" y="0"/>
            <wp:positionH relativeFrom="column">
              <wp:posOffset>-167005</wp:posOffset>
            </wp:positionH>
            <wp:positionV relativeFrom="paragraph">
              <wp:posOffset>261620</wp:posOffset>
            </wp:positionV>
            <wp:extent cx="4831080" cy="538480"/>
            <wp:effectExtent l="0" t="0" r="7620" b="7620"/>
            <wp:wrapNone/>
            <wp:docPr id="4" name="图片 6" descr="课程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课程设置"/>
                    <pic:cNvPicPr>
                      <a:picLocks noChangeAspect="1"/>
                    </pic:cNvPicPr>
                  </pic:nvPicPr>
                  <pic:blipFill>
                    <a:blip r:embed="rId10"/>
                    <a:stretch>
                      <a:fillRect/>
                    </a:stretch>
                  </pic:blipFill>
                  <pic:spPr>
                    <a:xfrm>
                      <a:off x="0" y="0"/>
                      <a:ext cx="4831080" cy="53848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bl>
      <w:tblPr>
        <w:tblStyle w:val="6"/>
        <w:tblW w:w="9119" w:type="dxa"/>
        <w:tblInd w:w="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8"/>
        <w:gridCol w:w="3060"/>
        <w:gridCol w:w="3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2998"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US" w:eastAsia="zh-CN"/>
              </w:rPr>
            </w:pPr>
            <w:r>
              <w:rPr>
                <w:rFonts w:hint="eastAsia"/>
                <w:b/>
                <w:bCs/>
                <w:sz w:val="28"/>
                <w:szCs w:val="36"/>
                <w:lang w:val="en-US" w:eastAsia="zh-CN"/>
              </w:rPr>
              <w:t>课  程  类  型</w:t>
            </w:r>
          </w:p>
        </w:tc>
        <w:tc>
          <w:tcPr>
            <w:tcW w:w="6121" w:type="dxa"/>
            <w:gridSpan w:val="2"/>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eastAsia="zh-CN"/>
              </w:rPr>
            </w:pPr>
            <w:r>
              <w:rPr>
                <w:rFonts w:hint="eastAsia"/>
                <w:b/>
                <w:bCs/>
                <w:sz w:val="28"/>
                <w:szCs w:val="36"/>
                <w:lang w:eastAsia="zh-CN"/>
              </w:rPr>
              <w:t>课</w:t>
            </w:r>
            <w:r>
              <w:rPr>
                <w:rFonts w:hint="eastAsia"/>
                <w:b/>
                <w:bCs/>
                <w:sz w:val="28"/>
                <w:szCs w:val="36"/>
                <w:lang w:val="en-US" w:eastAsia="zh-CN"/>
              </w:rPr>
              <w:t xml:space="preserve">  </w:t>
            </w:r>
            <w:r>
              <w:rPr>
                <w:rFonts w:hint="eastAsia"/>
                <w:b/>
                <w:bCs/>
                <w:sz w:val="28"/>
                <w:szCs w:val="36"/>
                <w:lang w:eastAsia="zh-CN"/>
              </w:rPr>
              <w:t>程</w:t>
            </w:r>
            <w:r>
              <w:rPr>
                <w:rFonts w:hint="eastAsia"/>
                <w:b/>
                <w:bCs/>
                <w:sz w:val="28"/>
                <w:szCs w:val="36"/>
                <w:lang w:val="en-US" w:eastAsia="zh-CN"/>
              </w:rPr>
              <w:t xml:space="preserve">  </w:t>
            </w:r>
            <w:r>
              <w:rPr>
                <w:rFonts w:hint="eastAsia"/>
                <w:b/>
                <w:bCs/>
                <w:sz w:val="28"/>
                <w:szCs w:val="36"/>
                <w:lang w:eastAsia="zh-CN"/>
              </w:rPr>
              <w:t>名</w:t>
            </w:r>
            <w:r>
              <w:rPr>
                <w:rFonts w:hint="eastAsia"/>
                <w:b/>
                <w:bCs/>
                <w:sz w:val="28"/>
                <w:szCs w:val="36"/>
                <w:lang w:val="en-US" w:eastAsia="zh-CN"/>
              </w:rPr>
              <w:t xml:space="preserve">  </w:t>
            </w:r>
            <w:r>
              <w:rPr>
                <w:rFonts w:hint="eastAsia"/>
                <w:b/>
                <w:bCs/>
                <w:sz w:val="28"/>
                <w:szCs w:val="36"/>
                <w:lang w:eastAsia="zh-CN"/>
              </w:rPr>
              <w:t>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998"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建筑</w:t>
            </w:r>
            <w:r>
              <w:rPr>
                <w:rFonts w:hint="eastAsia"/>
                <w:lang w:eastAsia="zh-CN"/>
              </w:rPr>
              <w:t>业宏观经济</w:t>
            </w:r>
            <w:r>
              <w:rPr>
                <w:rFonts w:hint="eastAsia"/>
                <w:lang w:val="en-US" w:eastAsia="zh-CN"/>
              </w:rPr>
              <w:t>&amp;</w:t>
            </w:r>
            <w:r>
              <w:rPr>
                <w:rFonts w:hint="eastAsia"/>
                <w:lang w:eastAsia="zh-CN"/>
              </w:rPr>
              <w:t>战略决策</w:t>
            </w:r>
          </w:p>
        </w:tc>
        <w:tc>
          <w:tcPr>
            <w:tcW w:w="3060"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eastAsia="zh-CN"/>
              </w:rPr>
              <w:t>建筑业外部环境与宏观政策</w:t>
            </w:r>
          </w:p>
        </w:tc>
        <w:tc>
          <w:tcPr>
            <w:tcW w:w="3061"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lang w:eastAsia="zh-CN"/>
              </w:rPr>
            </w:pPr>
            <w:r>
              <w:rPr>
                <w:rFonts w:hint="eastAsia"/>
              </w:rPr>
              <w:t>建筑企业</w:t>
            </w:r>
            <w:r>
              <w:rPr>
                <w:rFonts w:hint="eastAsia"/>
                <w:lang w:eastAsia="zh-CN"/>
              </w:rPr>
              <w:t>发展与战略转型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998" w:type="dxa"/>
            <w:vMerge w:val="restart"/>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建筑企业集团管控</w:t>
            </w:r>
            <w:r>
              <w:rPr>
                <w:rFonts w:hint="eastAsia"/>
                <w:lang w:val="en-US" w:eastAsia="zh-CN"/>
              </w:rPr>
              <w:t>&amp;</w:t>
            </w:r>
            <w:r>
              <w:rPr>
                <w:rFonts w:hint="eastAsia"/>
              </w:rPr>
              <w:t>制度建设</w:t>
            </w:r>
          </w:p>
        </w:tc>
        <w:tc>
          <w:tcPr>
            <w:tcW w:w="3060"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建筑企业集团管控</w:t>
            </w:r>
            <w:r>
              <w:rPr>
                <w:rFonts w:hint="eastAsia"/>
                <w:lang w:eastAsia="zh-CN"/>
              </w:rPr>
              <w:t>与并购</w:t>
            </w:r>
          </w:p>
        </w:tc>
        <w:tc>
          <w:tcPr>
            <w:tcW w:w="3061"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建筑业战略人力资源管理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998" w:type="dxa"/>
            <w:vMerge w:val="continue"/>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060"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建筑企业的公司治理</w:t>
            </w:r>
          </w:p>
        </w:tc>
        <w:tc>
          <w:tcPr>
            <w:tcW w:w="3061"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建筑企业</w:t>
            </w:r>
            <w:r>
              <w:rPr>
                <w:rFonts w:hint="eastAsia"/>
                <w:lang w:eastAsia="zh-CN"/>
              </w:rPr>
              <w:t>内部</w:t>
            </w:r>
            <w:r>
              <w:rPr>
                <w:rFonts w:hint="eastAsia"/>
              </w:rPr>
              <w:t>风险管理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2998" w:type="dxa"/>
            <w:vMerge w:val="restart"/>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建筑企业金融及财务管理</w:t>
            </w:r>
          </w:p>
        </w:tc>
        <w:tc>
          <w:tcPr>
            <w:tcW w:w="3060"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建筑企业的资本运作</w:t>
            </w:r>
          </w:p>
        </w:tc>
        <w:tc>
          <w:tcPr>
            <w:tcW w:w="3061"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建筑企业纳税筹划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2998" w:type="dxa"/>
            <w:vMerge w:val="continue"/>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060"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建筑企业股权设计</w:t>
            </w:r>
          </w:p>
        </w:tc>
        <w:tc>
          <w:tcPr>
            <w:tcW w:w="3061"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eastAsia="zh-CN"/>
              </w:rPr>
              <w:t>建筑企业成本战略管理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2998" w:type="dxa"/>
            <w:vMerge w:val="restart"/>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建筑企业创新发展</w:t>
            </w:r>
            <w:r>
              <w:rPr>
                <w:rFonts w:hint="eastAsia"/>
                <w:lang w:val="en-US" w:eastAsia="zh-CN"/>
              </w:rPr>
              <w:t>&amp;</w:t>
            </w:r>
            <w:r>
              <w:rPr>
                <w:rFonts w:hint="eastAsia"/>
              </w:rPr>
              <w:t>经营致胜</w:t>
            </w:r>
          </w:p>
        </w:tc>
        <w:tc>
          <w:tcPr>
            <w:tcW w:w="3060"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商业模式创新</w:t>
            </w:r>
          </w:p>
        </w:tc>
        <w:tc>
          <w:tcPr>
            <w:tcW w:w="3061"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eastAsia="zh-CN"/>
              </w:rPr>
              <w:t>国际劳务派遣与劳务分包法律风险防范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2998" w:type="dxa"/>
            <w:vMerge w:val="continue"/>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060"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建筑企业市场营销与品牌战略</w:t>
            </w:r>
          </w:p>
        </w:tc>
        <w:tc>
          <w:tcPr>
            <w:tcW w:w="3061"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eastAsia="zh-CN"/>
              </w:rPr>
              <w:t>绿色建筑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998" w:type="dxa"/>
            <w:vMerge w:val="restart"/>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建筑企业流程再造</w:t>
            </w:r>
            <w:r>
              <w:rPr>
                <w:rFonts w:hint="eastAsia"/>
                <w:lang w:val="en-US" w:eastAsia="zh-CN"/>
              </w:rPr>
              <w:t>&amp;</w:t>
            </w:r>
            <w:r>
              <w:rPr>
                <w:rFonts w:hint="eastAsia"/>
              </w:rPr>
              <w:t>项目管理</w:t>
            </w:r>
          </w:p>
        </w:tc>
        <w:tc>
          <w:tcPr>
            <w:tcW w:w="3060"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rPr>
              <w:t>建筑工程项目管理</w:t>
            </w:r>
          </w:p>
        </w:tc>
        <w:tc>
          <w:tcPr>
            <w:tcW w:w="3061"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rPr>
              <w:t>EPC</w:t>
            </w:r>
            <w:r>
              <w:rPr>
                <w:rFonts w:hint="eastAsia"/>
                <w:lang w:eastAsia="zh-CN"/>
              </w:rPr>
              <w:t>工程</w:t>
            </w:r>
            <w:r>
              <w:rPr>
                <w:rFonts w:hint="eastAsia"/>
              </w:rPr>
              <w:t>总承包</w:t>
            </w:r>
            <w:r>
              <w:rPr>
                <w:rFonts w:hint="eastAsia"/>
                <w:lang w:eastAsia="zh-CN"/>
              </w:rPr>
              <w:t>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2998" w:type="dxa"/>
            <w:vMerge w:val="continue"/>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060"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rPr>
              <w:t>工程</w:t>
            </w:r>
            <w:r>
              <w:rPr>
                <w:rFonts w:hint="eastAsia"/>
                <w:lang w:eastAsia="zh-CN"/>
              </w:rPr>
              <w:t>企业采购与成本控制</w:t>
            </w:r>
          </w:p>
        </w:tc>
        <w:tc>
          <w:tcPr>
            <w:tcW w:w="3061"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eastAsia="zh-CN"/>
              </w:rPr>
              <w:t>建筑企业</w:t>
            </w:r>
            <w:r>
              <w:rPr>
                <w:rFonts w:hint="eastAsia"/>
              </w:rPr>
              <w:t>成本</w:t>
            </w:r>
            <w:r>
              <w:rPr>
                <w:rFonts w:hint="eastAsia"/>
                <w:lang w:eastAsia="zh-CN"/>
              </w:rPr>
              <w:t>战略</w:t>
            </w:r>
            <w:r>
              <w:rPr>
                <w:rFonts w:hint="eastAsia"/>
              </w:rPr>
              <w:t>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998" w:type="dxa"/>
            <w:vMerge w:val="continue"/>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060"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eastAsia="zh-CN"/>
              </w:rPr>
              <w:t>建筑企业采购管理</w:t>
            </w:r>
          </w:p>
        </w:tc>
        <w:tc>
          <w:tcPr>
            <w:tcW w:w="3061"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eastAsia="zh-CN"/>
              </w:rPr>
              <w:t>建筑企业质量管理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2998" w:type="dxa"/>
            <w:vMerge w:val="continue"/>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060"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工程企业审计与项目审计</w:t>
            </w:r>
          </w:p>
        </w:tc>
        <w:tc>
          <w:tcPr>
            <w:tcW w:w="3061"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工程总承包的合同管理、索赔与反索赔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2998" w:type="dxa"/>
            <w:vMerge w:val="continue"/>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p>
        </w:tc>
        <w:tc>
          <w:tcPr>
            <w:tcW w:w="3060"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BIM技术在建筑施工中的应用</w:t>
            </w:r>
          </w:p>
        </w:tc>
        <w:tc>
          <w:tcPr>
            <w:tcW w:w="3061"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998" w:type="dxa"/>
            <w:vMerge w:val="restart"/>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eastAsia="zh-CN"/>
              </w:rPr>
              <w:t>大数据与新型建筑发展</w:t>
            </w:r>
          </w:p>
        </w:tc>
        <w:tc>
          <w:tcPr>
            <w:tcW w:w="3060"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eastAsia="zh-CN"/>
              </w:rPr>
              <w:t>大数据</w:t>
            </w:r>
            <w:r>
              <w:rPr>
                <w:rFonts w:hint="eastAsia"/>
                <w:lang w:val="en-US" w:eastAsia="zh-CN"/>
              </w:rPr>
              <w:t>+智慧建筑</w:t>
            </w:r>
          </w:p>
        </w:tc>
        <w:tc>
          <w:tcPr>
            <w:tcW w:w="3061"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eastAsia="zh-CN"/>
              </w:rPr>
              <w:t>装配式建筑与</w:t>
            </w:r>
            <w:r>
              <w:rPr>
                <w:rFonts w:hint="eastAsia"/>
                <w:lang w:val="en-US" w:eastAsia="zh-CN"/>
              </w:rPr>
              <w:t>建筑工业化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998" w:type="dxa"/>
            <w:vMerge w:val="continue"/>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060"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eastAsia="zh-CN"/>
              </w:rPr>
              <w:t>智慧城市与智慧工地</w:t>
            </w:r>
          </w:p>
        </w:tc>
        <w:tc>
          <w:tcPr>
            <w:tcW w:w="3061"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998" w:type="dxa"/>
            <w:vMerge w:val="restart"/>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建筑业</w:t>
            </w:r>
            <w:r>
              <w:rPr>
                <w:rFonts w:hint="eastAsia"/>
                <w:lang w:eastAsia="zh-CN"/>
              </w:rPr>
              <w:t>总裁哲学</w:t>
            </w:r>
            <w:r>
              <w:rPr>
                <w:rFonts w:hint="eastAsia"/>
                <w:lang w:val="en-US" w:eastAsia="zh-CN"/>
              </w:rPr>
              <w:t>&amp;</w:t>
            </w:r>
            <w:r>
              <w:rPr>
                <w:rFonts w:hint="eastAsia"/>
              </w:rPr>
              <w:t>智慧人生</w:t>
            </w:r>
          </w:p>
        </w:tc>
        <w:tc>
          <w:tcPr>
            <w:tcW w:w="3060"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eastAsia="zh-CN"/>
              </w:rPr>
              <w:t>建筑哲学</w:t>
            </w:r>
          </w:p>
        </w:tc>
        <w:tc>
          <w:tcPr>
            <w:tcW w:w="3061"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val="en-US" w:eastAsia="zh-CN"/>
              </w:rPr>
              <w:t>传统文化与现代企业管理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998" w:type="dxa"/>
            <w:vMerge w:val="continue"/>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060"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eastAsia="zh-CN"/>
              </w:rPr>
              <w:t>总裁管理智慧与创新思维</w:t>
            </w:r>
          </w:p>
        </w:tc>
        <w:tc>
          <w:tcPr>
            <w:tcW w:w="3061"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val="en-US" w:eastAsia="zh-CN"/>
              </w:rPr>
              <w:t>中国企业家文化传承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998" w:type="dxa"/>
            <w:vMerge w:val="continue"/>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060"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eastAsia="zh-CN"/>
              </w:rPr>
              <w:t>资治通鉴中的人生智慧</w:t>
            </w:r>
          </w:p>
        </w:tc>
        <w:tc>
          <w:tcPr>
            <w:tcW w:w="3061" w:type="dxa"/>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孙子兵法与商战谋略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998" w:type="dxa"/>
            <w:vMerge w:val="restart"/>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eastAsia="zh-CN"/>
              </w:rPr>
              <w:t>游学考察</w:t>
            </w:r>
          </w:p>
        </w:tc>
        <w:tc>
          <w:tcPr>
            <w:tcW w:w="6121" w:type="dxa"/>
            <w:gridSpan w:val="2"/>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建设工程行业标杆企业实践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2998" w:type="dxa"/>
            <w:vMerge w:val="continue"/>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121" w:type="dxa"/>
            <w:gridSpan w:val="2"/>
            <w:shd w:val="clear" w:color="auto" w:fill="E6E0EC"/>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国内外标志性建筑项目参观</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eastAsia="zh-CN"/>
        </w:rPr>
        <w:drawing>
          <wp:anchor distT="0" distB="0" distL="114300" distR="114300" simplePos="0" relativeHeight="251663360" behindDoc="1" locked="0" layoutInCell="1" allowOverlap="1">
            <wp:simplePos x="0" y="0"/>
            <wp:positionH relativeFrom="column">
              <wp:posOffset>-158750</wp:posOffset>
            </wp:positionH>
            <wp:positionV relativeFrom="paragraph">
              <wp:posOffset>285115</wp:posOffset>
            </wp:positionV>
            <wp:extent cx="5236845" cy="583565"/>
            <wp:effectExtent l="0" t="0" r="0" b="0"/>
            <wp:wrapThrough wrapText="bothSides">
              <wp:wrapPolygon>
                <wp:start x="21592" y="-2"/>
                <wp:lineTo x="0" y="0"/>
                <wp:lineTo x="0" y="21600"/>
                <wp:lineTo x="21592" y="21602"/>
                <wp:lineTo x="8" y="21602"/>
                <wp:lineTo x="21600" y="21600"/>
                <wp:lineTo x="21600" y="0"/>
                <wp:lineTo x="8" y="-2"/>
                <wp:lineTo x="21592" y="-2"/>
              </wp:wrapPolygon>
            </wp:wrapThrough>
            <wp:docPr id="6" name="图片 8" descr="学习收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学习收益"/>
                    <pic:cNvPicPr>
                      <a:picLocks noChangeAspect="1"/>
                    </pic:cNvPicPr>
                  </pic:nvPicPr>
                  <pic:blipFill>
                    <a:blip r:embed="rId11"/>
                    <a:stretch>
                      <a:fillRect/>
                    </a:stretch>
                  </pic:blipFill>
                  <pic:spPr>
                    <a:xfrm>
                      <a:off x="0" y="0"/>
                      <a:ext cx="5236845" cy="58356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建筑实战专家：</w:t>
      </w:r>
      <w:r>
        <w:rPr>
          <w:rFonts w:hint="eastAsia"/>
          <w:lang w:eastAsia="zh-CN"/>
        </w:rPr>
        <w:t>以源自清华、北大、国家行政学院、中央党校、人大等著名老师和业内实战专家组成的强大师资阵容为主。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建筑企业诊断：</w:t>
      </w:r>
      <w:r>
        <w:rPr>
          <w:rFonts w:hint="eastAsia"/>
          <w:lang w:eastAsia="zh-CN"/>
        </w:rPr>
        <w:t>诊断问题、研究分析、诊断指导、解决方案。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高端论坛：</w:t>
      </w:r>
      <w:r>
        <w:rPr>
          <w:rFonts w:hint="eastAsia"/>
          <w:lang w:eastAsia="zh-CN"/>
        </w:rPr>
        <w:t>每年组织大型论坛，与地产、金融等行业上千名同学交流，增进交流。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建筑标杆企业考察：</w:t>
      </w:r>
      <w:r>
        <w:rPr>
          <w:rFonts w:hint="eastAsia"/>
          <w:lang w:eastAsia="zh-CN"/>
        </w:rPr>
        <w:t>带领学员参观考察国内外优秀建筑企业，深度交流探讨建筑企业经营之道。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同学会：</w:t>
      </w:r>
      <w:r>
        <w:rPr>
          <w:rFonts w:hint="eastAsia"/>
          <w:lang w:eastAsia="zh-CN"/>
        </w:rPr>
        <w:t>组织各地同学会，增进跨区域跨行业学员间交流、提升企业竞争力，增加同学间合作，打造建筑领域高端资源平台。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全国院校互访：</w:t>
      </w:r>
      <w:r>
        <w:rPr>
          <w:rFonts w:hint="eastAsia"/>
          <w:lang w:eastAsia="zh-CN"/>
        </w:rPr>
        <w:t>浙大、西安交大、海南大学、哈工大等高校实现高端互访、共同学习、促进交流、增加友谊；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项目对接：</w:t>
      </w:r>
      <w:r>
        <w:rPr>
          <w:rFonts w:hint="eastAsia"/>
          <w:lang w:eastAsia="zh-CN"/>
        </w:rPr>
        <w:t>集聚地产、建筑、金融界权威专家，为同学们组织多样、精彩纷呈的活动，包括国内游学、标杆企业走访、建筑业发展论坛、项目交流会、学员互访等，实现资源对接。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资源整合：</w:t>
      </w:r>
      <w:r>
        <w:rPr>
          <w:rFonts w:hint="eastAsia"/>
          <w:lang w:eastAsia="zh-CN"/>
        </w:rPr>
        <w:t>学院以整合专家资源、项目资源、成果案例资源、金融资源、市场资源，能够做到全产业链自上而下的汇集与整合。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default"/>
          <w:lang w:val="en-US" w:eastAsia="zh-CN"/>
        </w:rPr>
        <w:drawing>
          <wp:anchor distT="0" distB="0" distL="114300" distR="114300" simplePos="0" relativeHeight="251664384" behindDoc="1" locked="0" layoutInCell="1" allowOverlap="1">
            <wp:simplePos x="0" y="0"/>
            <wp:positionH relativeFrom="column">
              <wp:posOffset>-158750</wp:posOffset>
            </wp:positionH>
            <wp:positionV relativeFrom="paragraph">
              <wp:posOffset>244475</wp:posOffset>
            </wp:positionV>
            <wp:extent cx="5354320" cy="596900"/>
            <wp:effectExtent l="0" t="0" r="0" b="0"/>
            <wp:wrapThrough wrapText="bothSides">
              <wp:wrapPolygon>
                <wp:start x="21592" y="-2"/>
                <wp:lineTo x="0" y="0"/>
                <wp:lineTo x="0" y="21600"/>
                <wp:lineTo x="21592" y="21602"/>
                <wp:lineTo x="8" y="21602"/>
                <wp:lineTo x="21600" y="21600"/>
                <wp:lineTo x="21600" y="0"/>
                <wp:lineTo x="8" y="-2"/>
                <wp:lineTo x="21592" y="-2"/>
              </wp:wrapPolygon>
            </wp:wrapThrough>
            <wp:docPr id="7" name="图片 9" descr="拟邀师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拟邀师资"/>
                    <pic:cNvPicPr>
                      <a:picLocks noChangeAspect="1"/>
                    </pic:cNvPicPr>
                  </pic:nvPicPr>
                  <pic:blipFill>
                    <a:blip r:embed="rId12"/>
                    <a:stretch>
                      <a:fillRect/>
                    </a:stretch>
                  </pic:blipFill>
                  <pic:spPr>
                    <a:xfrm>
                      <a:off x="0" y="0"/>
                      <a:ext cx="5354320" cy="596900"/>
                    </a:xfrm>
                    <a:prstGeom prst="rect">
                      <a:avLst/>
                    </a:prstGeom>
                    <a:noFill/>
                    <a:ln>
                      <a:noFill/>
                    </a:ln>
                  </pic:spPr>
                </pic:pic>
              </a:graphicData>
            </a:graphic>
          </wp:anchor>
        </w:drawing>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王守清：</w:t>
      </w:r>
      <w:r>
        <w:rPr>
          <w:rFonts w:hint="eastAsia"/>
          <w:lang w:eastAsia="zh-CN"/>
        </w:rPr>
        <w:t>清华大学建设管理系暨清华大学国际工程项目管理研究院教授、博导、副院长。中国经济研究中心常务副主任，著名经济学家、经济学博士。兼全国工程硕士专业学位教育指导委员会战略研究组成员和资格认证研究组成员、全国项目管理领域工程硕士教育协作组(161所大学)组长、中建协工程项目管理委员会专家委员会副主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强茂山：</w:t>
      </w:r>
      <w:r>
        <w:rPr>
          <w:rFonts w:hint="eastAsia"/>
          <w:lang w:eastAsia="zh-CN"/>
        </w:rPr>
        <w:t>清华大学教授 ，中华项目管理促进会（GPAC）大陆区主席，兼任中国水利学会系统工程专业委员会委员，中国建设工程造价管理协会水电工作委员会委员，《工程经济》编委会副主任，PMP，MCIOB，中国项目管理培训师大联盟专家顾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孙立军</w:t>
      </w:r>
      <w:r>
        <w:rPr>
          <w:rFonts w:hint="eastAsia"/>
          <w:lang w:eastAsia="zh-CN"/>
        </w:rPr>
        <w:t>：博士，同济大学工程学院院长，上海公路学会副理事长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 xml:space="preserve">韩廷春: </w:t>
      </w:r>
      <w:r>
        <w:rPr>
          <w:rFonts w:hint="eastAsia"/>
          <w:lang w:eastAsia="zh-CN"/>
        </w:rPr>
        <w:t>清华大学公共管理学院经济学教授，博士生导师。主要研究领域：中国宏观经济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张银杰：</w:t>
      </w:r>
      <w:r>
        <w:rPr>
          <w:rFonts w:hint="eastAsia"/>
          <w:lang w:eastAsia="zh-CN"/>
        </w:rPr>
        <w:t>清华大学总裁班特聘教授。上海财经大学经济学院教授，博士生导师，著名公司治理专家，主要研究方向：企业理论、宏观经济管理，近几年来，出版专著、发表论文等60多篇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许玉林</w:t>
      </w:r>
      <w:r>
        <w:rPr>
          <w:rFonts w:hint="eastAsia"/>
          <w:lang w:eastAsia="zh-CN"/>
        </w:rPr>
        <w:t xml:space="preserve">: </w:t>
      </w:r>
      <w:r>
        <w:rPr>
          <w:rFonts w:hint="eastAsia"/>
          <w:lang w:eastAsia="zh-CN"/>
        </w:rPr>
        <w:fldChar w:fldCharType="begin"/>
      </w:r>
      <w:r>
        <w:rPr>
          <w:rFonts w:hint="eastAsia"/>
          <w:lang w:eastAsia="zh-CN"/>
        </w:rPr>
        <w:instrText xml:space="preserve"> HYPERLINK "http://baike.baidu.com/view/1497685.htm" \t "_blank" </w:instrText>
      </w:r>
      <w:r>
        <w:rPr>
          <w:rFonts w:hint="eastAsia"/>
          <w:lang w:eastAsia="zh-CN"/>
        </w:rPr>
        <w:fldChar w:fldCharType="separate"/>
      </w:r>
      <w:r>
        <w:rPr>
          <w:rFonts w:hint="eastAsia"/>
          <w:lang w:eastAsia="zh-CN"/>
        </w:rPr>
        <w:t>中国人民大学劳动人事学院</w:t>
      </w:r>
      <w:r>
        <w:rPr>
          <w:rFonts w:hint="eastAsia"/>
          <w:lang w:eastAsia="zh-CN"/>
        </w:rPr>
        <w:fldChar w:fldCharType="end"/>
      </w:r>
      <w:r>
        <w:rPr>
          <w:rFonts w:hint="eastAsia"/>
          <w:lang w:eastAsia="zh-CN"/>
        </w:rPr>
        <w:t>教授、美国加州</w:t>
      </w:r>
      <w:r>
        <w:rPr>
          <w:rFonts w:hint="eastAsia"/>
          <w:lang w:eastAsia="zh-CN"/>
        </w:rPr>
        <w:fldChar w:fldCharType="begin"/>
      </w:r>
      <w:r>
        <w:rPr>
          <w:rFonts w:hint="eastAsia"/>
          <w:lang w:eastAsia="zh-CN"/>
        </w:rPr>
        <w:instrText xml:space="preserve"> HYPERLINK "http://baike.baidu.com/view/709092.htm" \t "_blank" </w:instrText>
      </w:r>
      <w:r>
        <w:rPr>
          <w:rFonts w:hint="eastAsia"/>
          <w:lang w:eastAsia="zh-CN"/>
        </w:rPr>
        <w:fldChar w:fldCharType="separate"/>
      </w:r>
      <w:r>
        <w:rPr>
          <w:rFonts w:hint="eastAsia"/>
          <w:lang w:eastAsia="zh-CN"/>
        </w:rPr>
        <w:t>伯克利</w:t>
      </w:r>
      <w:r>
        <w:rPr>
          <w:rFonts w:hint="eastAsia"/>
          <w:lang w:eastAsia="zh-CN"/>
        </w:rPr>
        <w:fldChar w:fldCharType="end"/>
      </w:r>
      <w:r>
        <w:rPr>
          <w:rFonts w:hint="eastAsia"/>
          <w:lang w:eastAsia="zh-CN"/>
        </w:rPr>
        <w:t>大学高级访问学者、博士生导师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eastAsia="zh-CN"/>
        </w:rPr>
        <w:t>著名战略人力资源专家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于宝刚：</w:t>
      </w:r>
      <w:r>
        <w:rPr>
          <w:rFonts w:hint="eastAsia"/>
          <w:lang w:eastAsia="zh-CN"/>
        </w:rPr>
        <w:t>著名投融资专家，金诺投资管理公司执行总裁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闵  岳：</w:t>
      </w:r>
      <w:r>
        <w:rPr>
          <w:rFonts w:hint="eastAsia"/>
          <w:lang w:eastAsia="zh-CN"/>
        </w:rPr>
        <w:t>资深财务管理专家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宋洪祥：</w:t>
      </w:r>
      <w:r>
        <w:rPr>
          <w:rFonts w:hint="eastAsia"/>
          <w:lang w:eastAsia="zh-CN"/>
        </w:rPr>
        <w:t>著名税务专家，“中国纳税筹划网”总裁、“亚太国际税收教育研究会”副会长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eastAsia="zh-CN"/>
        </w:rPr>
        <w:t>路长全: 著名营销战略专家，工商管理硕士（MBA）、工学硕士；清华大学、北京大学、海尔商学院、中央党校MBA总裁班客座教授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eastAsia="zh-CN"/>
        </w:rPr>
        <w:t>初笑钢：领导力专家，资深教练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邹广文：</w:t>
      </w:r>
      <w:r>
        <w:rPr>
          <w:rFonts w:hint="eastAsia"/>
          <w:lang w:eastAsia="zh-CN"/>
        </w:rPr>
        <w:t>清华大学人文社科学院教授，清华大学总裁班特邀讲师，著名企业文化专家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谢勤龙：</w:t>
      </w:r>
      <w:r>
        <w:rPr>
          <w:rFonts w:hint="eastAsia"/>
          <w:lang w:eastAsia="zh-CN"/>
        </w:rPr>
        <w:t>清华大学工科硕士，国家物流与采购联合会特聘专家，清华大学继续教育学院顾问，CLO、CPO班主讲教师，加拿大采购协会CIP认证教师，美国采购协会（ISM）注册采购经理人项目组长，高级培训师、高级管理顾问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张国刚：</w:t>
      </w:r>
      <w:r>
        <w:rPr>
          <w:rFonts w:hint="eastAsia"/>
          <w:lang w:eastAsia="zh-CN"/>
        </w:rPr>
        <w:t>清华大学历史系主任、教授、博士生导师，中国唐史学会会长，中国中外关系学会副会长。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王  微：</w:t>
      </w:r>
      <w:r>
        <w:rPr>
          <w:rFonts w:hint="eastAsia"/>
          <w:lang w:eastAsia="zh-CN"/>
        </w:rPr>
        <w:t>知名危机管理专家，清华大学继续教育学院、项目管理工程研究院主讲教授，EMBA工商管理硕士</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宁向东：</w:t>
      </w:r>
      <w:r>
        <w:rPr>
          <w:rFonts w:hint="eastAsia"/>
          <w:lang w:eastAsia="zh-CN"/>
        </w:rPr>
        <w:t>清华大学经济管理学院创新创业与战略系教授、博士生导师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戚安邦：</w:t>
      </w:r>
      <w:r>
        <w:rPr>
          <w:rFonts w:hint="eastAsia"/>
          <w:lang w:eastAsia="zh-CN"/>
        </w:rPr>
        <w:t>博士生导师，南开大学项目管理工程硕士中心主任，南开大学现代项目管理研究中心主任，南开大学MBA中心副主任，国际项目管理协会研究管理委员会主席。</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贺  林：</w:t>
      </w:r>
      <w:r>
        <w:rPr>
          <w:rFonts w:hint="eastAsia"/>
          <w:lang w:eastAsia="zh-CN"/>
        </w:rPr>
        <w:t>清华大学老科协科技服务办公室副主任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房西苑:</w:t>
      </w:r>
      <w:r>
        <w:rPr>
          <w:rFonts w:hint="eastAsia"/>
          <w:lang w:val="en-US" w:eastAsia="zh-CN"/>
        </w:rPr>
        <w:t xml:space="preserve"> </w:t>
      </w:r>
      <w:r>
        <w:rPr>
          <w:rFonts w:hint="eastAsia"/>
          <w:lang w:eastAsia="zh-CN"/>
        </w:rPr>
        <w:t>著名投融资专家、清华客座教授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王祖和：</w:t>
      </w:r>
      <w:r>
        <w:rPr>
          <w:rFonts w:hint="eastAsia"/>
          <w:lang w:eastAsia="zh-CN"/>
        </w:rPr>
        <w:t>同济大学博士，教授，山东科技大学土木建筑学院博士生导师，清大经管研究院特聘讲师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张玉杰：</w:t>
      </w:r>
      <w:r>
        <w:rPr>
          <w:rFonts w:hint="eastAsia"/>
          <w:lang w:eastAsia="zh-CN"/>
        </w:rPr>
        <w:t>经济学博士，清华大学经济管理学院博士后、教授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段永传：</w:t>
      </w:r>
      <w:r>
        <w:rPr>
          <w:rFonts w:hint="eastAsia"/>
          <w:lang w:eastAsia="zh-CN"/>
        </w:rPr>
        <w:t>中国中铁股份有限公司副总裁、高级工程师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鲁贵卿：</w:t>
      </w:r>
      <w:r>
        <w:rPr>
          <w:rFonts w:hint="eastAsia"/>
          <w:lang w:eastAsia="zh-CN"/>
        </w:rPr>
        <w:t>中南控股集团有限公司总裁全国人大代表，原中建五局董事长、中建股份有限公司总经济师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毛晨阳：</w:t>
      </w:r>
      <w:r>
        <w:rPr>
          <w:rFonts w:hint="eastAsia"/>
          <w:lang w:eastAsia="zh-CN"/>
        </w:rPr>
        <w:t>鲲鹏建设集团有限公司董事长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张宝岭：</w:t>
      </w:r>
      <w:r>
        <w:rPr>
          <w:rFonts w:hint="eastAsia"/>
          <w:lang w:eastAsia="zh-CN"/>
        </w:rPr>
        <w:t>中冶京诚工程技术有限公司党委委员、常务副总裁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杜慧鹏：</w:t>
      </w:r>
      <w:r>
        <w:rPr>
          <w:rFonts w:hint="eastAsia"/>
          <w:lang w:eastAsia="zh-CN"/>
        </w:rPr>
        <w:t>中电建建筑集团有限公司党委委员、副总经理、总经济师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朱广侠：</w:t>
      </w:r>
      <w:r>
        <w:rPr>
          <w:rFonts w:hint="eastAsia"/>
          <w:lang w:eastAsia="zh-CN"/>
        </w:rPr>
        <w:t>中国二冶集团有限公司董事长、总经理、党委副书记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金宁运：</w:t>
      </w:r>
      <w:r>
        <w:rPr>
          <w:rFonts w:hint="eastAsia"/>
          <w:lang w:eastAsia="zh-CN"/>
        </w:rPr>
        <w:t>广西建工集团有限责任公司董事长、党委书记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林秋美：</w:t>
      </w:r>
      <w:r>
        <w:rPr>
          <w:rFonts w:hint="eastAsia"/>
          <w:lang w:eastAsia="zh-CN"/>
        </w:rPr>
        <w:t>福建建工集团有限责任公司党委书记、董事长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叶浩文：</w:t>
      </w:r>
      <w:r>
        <w:rPr>
          <w:rFonts w:hint="eastAsia"/>
          <w:lang w:eastAsia="zh-CN"/>
        </w:rPr>
        <w:t>中建科技集团有限公司董事长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陈文豹：</w:t>
      </w:r>
      <w:r>
        <w:rPr>
          <w:rFonts w:hint="eastAsia"/>
          <w:lang w:eastAsia="zh-CN"/>
        </w:rPr>
        <w:t>福建巨岸建设工程有限公司董事长、教授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韩乃山：</w:t>
      </w:r>
      <w:r>
        <w:rPr>
          <w:rFonts w:hint="eastAsia"/>
          <w:lang w:eastAsia="zh-CN"/>
        </w:rPr>
        <w:t>中国核工业建设股份有限公司副总裁、总工程师、党委委员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王伍仁：</w:t>
      </w:r>
      <w:r>
        <w:rPr>
          <w:rFonts w:hint="eastAsia"/>
          <w:lang w:eastAsia="zh-CN"/>
        </w:rPr>
        <w:t>教授级高级工程师，享受国务院政府特殊津贴工程专家，英国皇家特许建造师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周才柬：</w:t>
      </w:r>
      <w:r>
        <w:rPr>
          <w:rFonts w:hint="eastAsia"/>
          <w:lang w:eastAsia="zh-CN"/>
        </w:rPr>
        <w:t>江西省建工集团有限责任公司党委副书记、副董事长、总经理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lang w:eastAsia="zh-CN"/>
        </w:rPr>
      </w:pPr>
      <w:r>
        <w:rPr>
          <w:rFonts w:hint="eastAsia" w:eastAsia="宋体"/>
          <w:lang w:eastAsia="zh-CN"/>
        </w:rPr>
        <w:drawing>
          <wp:anchor distT="0" distB="0" distL="114300" distR="114300" simplePos="0" relativeHeight="251665408" behindDoc="1" locked="0" layoutInCell="1" allowOverlap="1">
            <wp:simplePos x="0" y="0"/>
            <wp:positionH relativeFrom="column">
              <wp:posOffset>-175260</wp:posOffset>
            </wp:positionH>
            <wp:positionV relativeFrom="paragraph">
              <wp:posOffset>121285</wp:posOffset>
            </wp:positionV>
            <wp:extent cx="5212080" cy="581025"/>
            <wp:effectExtent l="0" t="0" r="0" b="0"/>
            <wp:wrapThrough wrapText="bothSides">
              <wp:wrapPolygon>
                <wp:start x="21592" y="-2"/>
                <wp:lineTo x="0" y="0"/>
                <wp:lineTo x="0" y="21600"/>
                <wp:lineTo x="21592" y="21602"/>
                <wp:lineTo x="8" y="21602"/>
                <wp:lineTo x="21600" y="21600"/>
                <wp:lineTo x="21600" y="0"/>
                <wp:lineTo x="8" y="-2"/>
                <wp:lineTo x="21592" y="-2"/>
              </wp:wrapPolygon>
            </wp:wrapThrough>
            <wp:docPr id="8" name="图片 10" descr="教学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教学管理"/>
                    <pic:cNvPicPr>
                      <a:picLocks noChangeAspect="1"/>
                    </pic:cNvPicPr>
                  </pic:nvPicPr>
                  <pic:blipFill>
                    <a:blip r:embed="rId13"/>
                    <a:stretch>
                      <a:fillRect/>
                    </a:stretch>
                  </pic:blipFill>
                  <pic:spPr>
                    <a:xfrm>
                      <a:off x="0" y="0"/>
                      <a:ext cx="5212080" cy="58102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eastAsia="zh-CN"/>
        </w:rPr>
        <w:drawing>
          <wp:anchor distT="0" distB="0" distL="114300" distR="114300" simplePos="0" relativeHeight="251666432" behindDoc="0" locked="0" layoutInCell="1" allowOverlap="1">
            <wp:simplePos x="0" y="0"/>
            <wp:positionH relativeFrom="column">
              <wp:posOffset>-153035</wp:posOffset>
            </wp:positionH>
            <wp:positionV relativeFrom="paragraph">
              <wp:posOffset>248920</wp:posOffset>
            </wp:positionV>
            <wp:extent cx="5210810" cy="581025"/>
            <wp:effectExtent l="0" t="0" r="0" b="0"/>
            <wp:wrapNone/>
            <wp:docPr id="9" name="图片 12" descr="入学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入学流程"/>
                    <pic:cNvPicPr>
                      <a:picLocks noChangeAspect="1"/>
                    </pic:cNvPicPr>
                  </pic:nvPicPr>
                  <pic:blipFill>
                    <a:blip r:embed="rId14"/>
                    <a:stretch>
                      <a:fillRect/>
                    </a:stretch>
                  </pic:blipFill>
                  <pic:spPr>
                    <a:xfrm>
                      <a:off x="0" y="0"/>
                      <a:ext cx="5210810" cy="581025"/>
                    </a:xfrm>
                    <a:prstGeom prst="rect">
                      <a:avLst/>
                    </a:prstGeom>
                    <a:noFill/>
                    <a:ln>
                      <a:noFill/>
                    </a:ln>
                  </pic:spPr>
                </pic:pic>
              </a:graphicData>
            </a:graphic>
          </wp:anchor>
        </w:drawing>
      </w:r>
      <w:r>
        <w:rPr>
          <w:rFonts w:hint="eastAsia"/>
          <w:lang w:eastAsia="zh-CN"/>
        </w:rPr>
        <w:t>学制时间：学制一年半，每两个月集中授课三天，总学时：</w:t>
      </w:r>
      <w:r>
        <w:rPr>
          <w:rFonts w:hint="eastAsia"/>
          <w:lang w:val="en-US" w:eastAsia="zh-CN"/>
        </w:rPr>
        <w:t>21</w:t>
      </w:r>
      <w:r>
        <w:rPr>
          <w:rFonts w:hint="eastAsia"/>
          <w:lang w:eastAsia="zh-CN"/>
        </w:rPr>
        <w:t>6学时（每天按8学时计算）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申请材料：</w:t>
      </w:r>
      <w:r>
        <w:rPr>
          <w:rFonts w:hint="eastAsia"/>
          <w:lang w:eastAsia="zh-CN"/>
        </w:rPr>
        <w:t>填写完整的《报名申请表》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b/>
          <w:bCs/>
          <w:lang w:eastAsia="zh-CN"/>
        </w:rPr>
        <w:t>缴纳学费：</w:t>
      </w:r>
      <w:r>
        <w:rPr>
          <w:rFonts w:hint="eastAsia"/>
          <w:lang w:eastAsia="zh-CN"/>
        </w:rPr>
        <w:t>学员接到录取通知书后，将学费汇入指定账户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eastAsia="zh-CN"/>
        </w:rPr>
        <w:drawing>
          <wp:anchor distT="0" distB="0" distL="114300" distR="114300" simplePos="0" relativeHeight="251667456" behindDoc="1" locked="0" layoutInCell="1" allowOverlap="1">
            <wp:simplePos x="0" y="0"/>
            <wp:positionH relativeFrom="column">
              <wp:posOffset>-148590</wp:posOffset>
            </wp:positionH>
            <wp:positionV relativeFrom="paragraph">
              <wp:posOffset>285750</wp:posOffset>
            </wp:positionV>
            <wp:extent cx="5369560" cy="598805"/>
            <wp:effectExtent l="0" t="0" r="0" b="0"/>
            <wp:wrapThrough wrapText="bothSides">
              <wp:wrapPolygon>
                <wp:start x="21592" y="-2"/>
                <wp:lineTo x="0" y="0"/>
                <wp:lineTo x="0" y="21600"/>
                <wp:lineTo x="21592" y="21602"/>
                <wp:lineTo x="8" y="21602"/>
                <wp:lineTo x="21600" y="21600"/>
                <wp:lineTo x="21600" y="0"/>
                <wp:lineTo x="8" y="-2"/>
                <wp:lineTo x="21592" y="-2"/>
              </wp:wrapPolygon>
            </wp:wrapThrough>
            <wp:docPr id="10" name="图片 13" descr="培养费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培养费用"/>
                    <pic:cNvPicPr>
                      <a:picLocks noChangeAspect="1"/>
                    </pic:cNvPicPr>
                  </pic:nvPicPr>
                  <pic:blipFill>
                    <a:blip r:embed="rId15"/>
                    <a:stretch>
                      <a:fillRect/>
                    </a:stretch>
                  </pic:blipFill>
                  <pic:spPr>
                    <a:xfrm>
                      <a:off x="0" y="0"/>
                      <a:ext cx="5369560" cy="598805"/>
                    </a:xfrm>
                    <a:prstGeom prst="rect">
                      <a:avLst/>
                    </a:prstGeom>
                    <a:noFill/>
                    <a:ln>
                      <a:noFill/>
                    </a:ln>
                  </pic:spPr>
                </pic:pic>
              </a:graphicData>
            </a:graphic>
          </wp:anchor>
        </w:drawing>
      </w:r>
      <w:r>
        <w:rPr>
          <w:rFonts w:hint="eastAsia"/>
          <w:b/>
          <w:bCs/>
          <w:lang w:eastAsia="zh-CN"/>
        </w:rPr>
        <w:t>入学报到：</w:t>
      </w:r>
      <w:r>
        <w:rPr>
          <w:rFonts w:hint="eastAsia"/>
          <w:lang w:eastAsia="zh-CN"/>
        </w:rPr>
        <w:t>按上课通知书，入学报到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eastAsia="zh-CN"/>
        </w:rPr>
        <w:t>清大高级工程管理（建筑业）总裁研修班学费：RMB</w:t>
      </w:r>
      <w:r>
        <w:rPr>
          <w:rFonts w:hint="eastAsia"/>
          <w:lang w:val="en-US" w:eastAsia="zh-CN"/>
        </w:rPr>
        <w:t>62</w:t>
      </w:r>
      <w:r>
        <w:rPr>
          <w:rFonts w:hint="eastAsia"/>
          <w:lang w:eastAsia="zh-CN"/>
        </w:rPr>
        <w:t>000 元/人；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清大高级工程管理（建筑业）总裁研修班、</w:t>
      </w:r>
      <w:r>
        <w:rPr>
          <w:rFonts w:hint="eastAsia"/>
          <w:lang w:val="en-US" w:eastAsia="zh-CN"/>
        </w:rPr>
        <w:t>法国ILCI商学院EMBA班</w:t>
      </w:r>
      <w:r>
        <w:rPr>
          <w:rFonts w:hint="eastAsia"/>
          <w:lang w:eastAsia="zh-CN"/>
        </w:rPr>
        <w:t>同时进修学费：RMB</w:t>
      </w:r>
      <w:r>
        <w:rPr>
          <w:rFonts w:hint="eastAsia"/>
          <w:lang w:val="en-US" w:eastAsia="zh-CN"/>
        </w:rPr>
        <w:t>1198</w:t>
      </w:r>
      <w:r>
        <w:rPr>
          <w:rFonts w:hint="eastAsia"/>
          <w:lang w:eastAsia="zh-CN"/>
        </w:rPr>
        <w:t>00元</w:t>
      </w:r>
      <w:r>
        <w:rPr>
          <w:rFonts w:hint="eastAsia"/>
          <w:lang w:val="en-US" w:eastAsia="zh-CN"/>
        </w:rPr>
        <w:t>/人；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eastAsia="zh-CN"/>
        </w:rPr>
        <w:t>注：学费含课程学习、教材、讲义等各项费用。其它食、宿、行等费用另自行负担，可由学院统一协助组织安排。</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特别声明：清大高级工程管理（建筑业）总裁研修班价值</w:t>
      </w:r>
      <w:r>
        <w:rPr>
          <w:rFonts w:hint="eastAsia"/>
          <w:lang w:val="en-US" w:eastAsia="zh-CN"/>
        </w:rPr>
        <w:t>62000元，法国ILCI商学院EMBA班价值1198</w:t>
      </w:r>
      <w:r>
        <w:rPr>
          <w:rFonts w:hint="eastAsia"/>
          <w:lang w:eastAsia="zh-CN"/>
        </w:rPr>
        <w:t>00</w:t>
      </w:r>
      <w:r>
        <w:rPr>
          <w:rFonts w:hint="eastAsia"/>
          <w:lang w:val="en-US" w:eastAsia="zh-CN"/>
        </w:rPr>
        <w:t>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drawing>
          <wp:anchor distT="0" distB="0" distL="114300" distR="114300" simplePos="0" relativeHeight="251668480" behindDoc="1" locked="0" layoutInCell="1" allowOverlap="1">
            <wp:simplePos x="0" y="0"/>
            <wp:positionH relativeFrom="column">
              <wp:posOffset>-116840</wp:posOffset>
            </wp:positionH>
            <wp:positionV relativeFrom="paragraph">
              <wp:posOffset>21590</wp:posOffset>
            </wp:positionV>
            <wp:extent cx="5095240" cy="567690"/>
            <wp:effectExtent l="0" t="0" r="0" b="0"/>
            <wp:wrapThrough wrapText="bothSides">
              <wp:wrapPolygon>
                <wp:start x="21592" y="-2"/>
                <wp:lineTo x="0" y="0"/>
                <wp:lineTo x="0" y="21600"/>
                <wp:lineTo x="21592" y="21602"/>
                <wp:lineTo x="8" y="21602"/>
                <wp:lineTo x="21600" y="21600"/>
                <wp:lineTo x="21600" y="0"/>
                <wp:lineTo x="8" y="-2"/>
                <wp:lineTo x="21592" y="-2"/>
              </wp:wrapPolygon>
            </wp:wrapThrough>
            <wp:docPr id="11" name="图片 14" descr="入学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入学资料"/>
                    <pic:cNvPicPr>
                      <a:picLocks noChangeAspect="1"/>
                    </pic:cNvPicPr>
                  </pic:nvPicPr>
                  <pic:blipFill>
                    <a:blip r:embed="rId16"/>
                    <a:stretch>
                      <a:fillRect/>
                    </a:stretch>
                  </pic:blipFill>
                  <pic:spPr>
                    <a:xfrm>
                      <a:off x="0" y="0"/>
                      <a:ext cx="5095240" cy="56769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val="en-US" w:eastAsia="zh-CN"/>
        </w:rPr>
        <w:t>1、</w:t>
      </w:r>
      <w:r>
        <w:rPr>
          <w:rFonts w:hint="eastAsia"/>
          <w:lang w:eastAsia="zh-CN"/>
        </w:rPr>
        <w:t>第二代身份证正反面复印件一份；</w:t>
      </w:r>
      <w:r>
        <w:rPr>
          <w:rFonts w:hint="eastAsia"/>
          <w:lang w:val="en-US" w:eastAsia="zh-CN"/>
        </w:rPr>
        <w:t>2、</w:t>
      </w:r>
      <w:r>
        <w:rPr>
          <w:rFonts w:hint="eastAsia"/>
          <w:lang w:eastAsia="zh-CN"/>
        </w:rPr>
        <w:t>两寸蓝底彩照两张；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rPr>
          <w:rFonts w:hint="eastAsia"/>
          <w:lang w:val="en-US" w:eastAsia="zh-CN"/>
        </w:rPr>
        <w:t>3、</w:t>
      </w:r>
      <w:r>
        <w:rPr>
          <w:rFonts w:hint="eastAsia"/>
          <w:lang w:eastAsia="zh-CN"/>
        </w:rPr>
        <w:t>公司简介一份；</w:t>
      </w:r>
      <w:r>
        <w:rPr>
          <w:rFonts w:hint="eastAsia"/>
          <w:lang w:val="en-US" w:eastAsia="zh-CN"/>
        </w:rPr>
        <w:t xml:space="preserve">                4、</w:t>
      </w:r>
      <w:r>
        <w:rPr>
          <w:rFonts w:hint="eastAsia"/>
          <w:lang w:eastAsia="zh-CN"/>
        </w:rPr>
        <w:t>名片两张。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eastAsia="宋体"/>
          <w:lang w:eastAsia="zh-CN"/>
        </w:rPr>
        <w:drawing>
          <wp:anchor distT="0" distB="0" distL="114300" distR="114300" simplePos="0" relativeHeight="251669504" behindDoc="1" locked="0" layoutInCell="1" allowOverlap="1">
            <wp:simplePos x="0" y="0"/>
            <wp:positionH relativeFrom="column">
              <wp:posOffset>-150495</wp:posOffset>
            </wp:positionH>
            <wp:positionV relativeFrom="paragraph">
              <wp:posOffset>165100</wp:posOffset>
            </wp:positionV>
            <wp:extent cx="5144770" cy="573405"/>
            <wp:effectExtent l="0" t="0" r="0" b="0"/>
            <wp:wrapThrough wrapText="bothSides">
              <wp:wrapPolygon>
                <wp:start x="21592" y="-2"/>
                <wp:lineTo x="0" y="0"/>
                <wp:lineTo x="0" y="21600"/>
                <wp:lineTo x="21592" y="21602"/>
                <wp:lineTo x="8" y="21602"/>
                <wp:lineTo x="21600" y="21600"/>
                <wp:lineTo x="21600" y="0"/>
                <wp:lineTo x="8" y="-2"/>
                <wp:lineTo x="21592" y="-2"/>
              </wp:wrapPolygon>
            </wp:wrapThrough>
            <wp:docPr id="12" name="图片 15" descr="精彩回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精彩回顾"/>
                    <pic:cNvPicPr>
                      <a:picLocks noChangeAspect="1"/>
                    </pic:cNvPicPr>
                  </pic:nvPicPr>
                  <pic:blipFill>
                    <a:blip r:embed="rId17"/>
                    <a:stretch>
                      <a:fillRect/>
                    </a:stretch>
                  </pic:blipFill>
                  <pic:spPr>
                    <a:xfrm>
                      <a:off x="0" y="0"/>
                      <a:ext cx="5144770" cy="57340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lang w:eastAsia="zh-CN"/>
        </w:rPr>
      </w:pPr>
      <w:r>
        <w:rPr>
          <w:rFonts w:hint="eastAsia" w:eastAsia="宋体"/>
          <w:lang w:eastAsia="zh-CN"/>
        </w:rPr>
        <w:drawing>
          <wp:anchor distT="0" distB="0" distL="114300" distR="114300" simplePos="0" relativeHeight="251670528" behindDoc="0" locked="0" layoutInCell="1" allowOverlap="1">
            <wp:simplePos x="0" y="0"/>
            <wp:positionH relativeFrom="column">
              <wp:posOffset>-5134610</wp:posOffset>
            </wp:positionH>
            <wp:positionV relativeFrom="paragraph">
              <wp:posOffset>217805</wp:posOffset>
            </wp:positionV>
            <wp:extent cx="5708015" cy="7280275"/>
            <wp:effectExtent l="0" t="0" r="6985" b="9525"/>
            <wp:wrapNone/>
            <wp:docPr id="13" name="图片 18" descr="未标题-1 拷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descr="未标题-1 拷11"/>
                    <pic:cNvPicPr>
                      <a:picLocks noChangeAspect="1"/>
                    </pic:cNvPicPr>
                  </pic:nvPicPr>
                  <pic:blipFill>
                    <a:blip r:embed="rId18"/>
                    <a:stretch>
                      <a:fillRect/>
                    </a:stretch>
                  </pic:blipFill>
                  <pic:spPr>
                    <a:xfrm>
                      <a:off x="0" y="0"/>
                      <a:ext cx="5708015" cy="72802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44"/>
          <w:szCs w:val="5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44"/>
          <w:szCs w:val="5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44"/>
          <w:szCs w:val="5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44"/>
          <w:szCs w:val="5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44"/>
          <w:szCs w:val="52"/>
        </w:rPr>
      </w:pPr>
      <w:r>
        <w:rPr>
          <w:rFonts w:hint="eastAsia"/>
          <w:b/>
          <w:bCs/>
          <w:sz w:val="44"/>
          <w:szCs w:val="52"/>
        </w:rPr>
        <w:t>清大高级工商管理(建筑业)总裁研修班</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i w:val="0"/>
          <w:iCs w:val="0"/>
          <w:sz w:val="36"/>
          <w:szCs w:val="44"/>
          <w:lang w:eastAsia="zh-CN"/>
        </w:rPr>
      </w:pPr>
      <w:r>
        <w:rPr>
          <w:rFonts w:hint="eastAsia"/>
          <w:b/>
          <w:bCs/>
          <w:i w:val="0"/>
          <w:iCs w:val="0"/>
          <w:sz w:val="36"/>
          <w:szCs w:val="44"/>
          <w:lang w:eastAsia="zh-CN"/>
        </w:rPr>
        <w:t>报</w:t>
      </w:r>
      <w:r>
        <w:rPr>
          <w:rFonts w:hint="eastAsia"/>
          <w:b/>
          <w:bCs/>
          <w:i w:val="0"/>
          <w:iCs w:val="0"/>
          <w:sz w:val="36"/>
          <w:szCs w:val="44"/>
          <w:lang w:val="en-US" w:eastAsia="zh-CN"/>
        </w:rPr>
        <w:t xml:space="preserve"> </w:t>
      </w:r>
      <w:r>
        <w:rPr>
          <w:rFonts w:hint="eastAsia"/>
          <w:b/>
          <w:bCs/>
          <w:i w:val="0"/>
          <w:iCs w:val="0"/>
          <w:sz w:val="36"/>
          <w:szCs w:val="44"/>
          <w:lang w:eastAsia="zh-CN"/>
        </w:rPr>
        <w:t>名</w:t>
      </w:r>
      <w:r>
        <w:rPr>
          <w:rFonts w:hint="eastAsia"/>
          <w:b/>
          <w:bCs/>
          <w:i w:val="0"/>
          <w:iCs w:val="0"/>
          <w:sz w:val="36"/>
          <w:szCs w:val="44"/>
          <w:lang w:val="en-US" w:eastAsia="zh-CN"/>
        </w:rPr>
        <w:t xml:space="preserve"> </w:t>
      </w:r>
      <w:r>
        <w:rPr>
          <w:rFonts w:hint="eastAsia"/>
          <w:b/>
          <w:bCs/>
          <w:i w:val="0"/>
          <w:iCs w:val="0"/>
          <w:sz w:val="36"/>
          <w:szCs w:val="44"/>
          <w:lang w:eastAsia="zh-CN"/>
        </w:rPr>
        <w:t>表</w:t>
      </w:r>
    </w:p>
    <w:tbl>
      <w:tblPr>
        <w:tblStyle w:val="5"/>
        <w:tblpPr w:topFromText="180" w:bottomFromText="180" w:vertAnchor="text" w:horzAnchor="margin" w:tblpXSpec="center" w:tblpY="408"/>
        <w:tblOverlap w:val="never"/>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432"/>
        <w:gridCol w:w="638"/>
        <w:gridCol w:w="825"/>
        <w:gridCol w:w="770"/>
        <w:gridCol w:w="963"/>
        <w:gridCol w:w="1352"/>
        <w:gridCol w:w="922"/>
        <w:gridCol w:w="770"/>
        <w:gridCol w:w="963"/>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391" w:hRule="atLeast"/>
          <w:jc w:val="center"/>
        </w:trPr>
        <w:tc>
          <w:tcPr>
            <w:tcW w:w="97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姓 名</w:t>
            </w:r>
          </w:p>
        </w:tc>
        <w:tc>
          <w:tcPr>
            <w:tcW w:w="146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性别</w:t>
            </w:r>
          </w:p>
        </w:tc>
        <w:tc>
          <w:tcPr>
            <w:tcW w:w="9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出生年月</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民族</w:t>
            </w:r>
          </w:p>
        </w:tc>
        <w:tc>
          <w:tcPr>
            <w:tcW w:w="96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181"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391" w:hRule="atLeast"/>
          <w:jc w:val="center"/>
        </w:trPr>
        <w:tc>
          <w:tcPr>
            <w:tcW w:w="97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籍 贯</w:t>
            </w:r>
          </w:p>
        </w:tc>
        <w:tc>
          <w:tcPr>
            <w:tcW w:w="223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6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学历</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专业</w:t>
            </w:r>
          </w:p>
        </w:tc>
        <w:tc>
          <w:tcPr>
            <w:tcW w:w="1733"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181"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391" w:hRule="atLeast"/>
          <w:jc w:val="center"/>
        </w:trPr>
        <w:tc>
          <w:tcPr>
            <w:tcW w:w="160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工作单位</w:t>
            </w:r>
          </w:p>
        </w:tc>
        <w:tc>
          <w:tcPr>
            <w:tcW w:w="6565"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181"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cantSplit/>
          <w:trHeight w:val="606" w:hRule="atLeast"/>
          <w:jc w:val="center"/>
        </w:trPr>
        <w:tc>
          <w:tcPr>
            <w:tcW w:w="160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职    务</w:t>
            </w:r>
          </w:p>
        </w:tc>
        <w:tc>
          <w:tcPr>
            <w:tcW w:w="2558"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身份证号</w:t>
            </w:r>
          </w:p>
        </w:tc>
        <w:tc>
          <w:tcPr>
            <w:tcW w:w="2655"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181"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Height w:val="391" w:hRule="atLeast"/>
          <w:jc w:val="center"/>
        </w:trPr>
        <w:tc>
          <w:tcPr>
            <w:tcW w:w="53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教育情况</w:t>
            </w:r>
          </w:p>
        </w:tc>
        <w:tc>
          <w:tcPr>
            <w:tcW w:w="107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时间</w:t>
            </w:r>
          </w:p>
        </w:tc>
        <w:tc>
          <w:tcPr>
            <w:tcW w:w="3910"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学     校</w:t>
            </w:r>
          </w:p>
        </w:tc>
        <w:tc>
          <w:tcPr>
            <w:tcW w:w="3836"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Height w:val="391" w:hRule="atLeast"/>
          <w:jc w:val="center"/>
        </w:trPr>
        <w:tc>
          <w:tcPr>
            <w:tcW w:w="539"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7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910" w:type="dxa"/>
            <w:gridSpan w:val="4"/>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836" w:type="dxa"/>
            <w:gridSpan w:val="4"/>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Height w:val="170" w:hRule="atLeast"/>
          <w:jc w:val="center"/>
        </w:trPr>
        <w:tc>
          <w:tcPr>
            <w:tcW w:w="539"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7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910" w:type="dxa"/>
            <w:gridSpan w:val="4"/>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836" w:type="dxa"/>
            <w:gridSpan w:val="4"/>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Height w:val="391" w:hRule="atLeast"/>
          <w:jc w:val="center"/>
        </w:trPr>
        <w:tc>
          <w:tcPr>
            <w:tcW w:w="53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工作经历</w:t>
            </w:r>
          </w:p>
        </w:tc>
        <w:tc>
          <w:tcPr>
            <w:tcW w:w="107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时间</w:t>
            </w:r>
          </w:p>
        </w:tc>
        <w:tc>
          <w:tcPr>
            <w:tcW w:w="3910"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单     位</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职务</w:t>
            </w:r>
          </w:p>
        </w:tc>
        <w:tc>
          <w:tcPr>
            <w:tcW w:w="29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主要工作内容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Height w:val="391" w:hRule="atLeast"/>
          <w:jc w:val="center"/>
        </w:trPr>
        <w:tc>
          <w:tcPr>
            <w:tcW w:w="539"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7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910" w:type="dxa"/>
            <w:gridSpan w:val="4"/>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2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914"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Height w:val="752" w:hRule="atLeast"/>
          <w:jc w:val="center"/>
        </w:trPr>
        <w:tc>
          <w:tcPr>
            <w:tcW w:w="539"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7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910" w:type="dxa"/>
            <w:gridSpan w:val="4"/>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2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914"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Height w:val="1532" w:hRule="atLeast"/>
          <w:jc w:val="center"/>
        </w:trPr>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主要成就</w:t>
            </w:r>
          </w:p>
        </w:tc>
        <w:tc>
          <w:tcPr>
            <w:tcW w:w="8816" w:type="dxa"/>
            <w:gridSpan w:val="10"/>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1988" w:hRule="atLeast"/>
          <w:jc w:val="center"/>
        </w:trPr>
        <w:tc>
          <w:tcPr>
            <w:tcW w:w="9355" w:type="dxa"/>
            <w:gridSpan w:val="11"/>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 xml:space="preserve">通讯地址：                            </w:t>
            </w:r>
            <w:r>
              <w:rPr>
                <w:rFonts w:hint="eastAsia"/>
              </w:rPr>
              <w:softHyphen/>
            </w:r>
            <w:r>
              <w:rPr>
                <w:rFonts w:hint="eastAsia"/>
              </w:rPr>
              <w:softHyphen/>
            </w:r>
            <w:r>
              <w:rPr>
                <w:rFonts w:hint="eastAsia"/>
              </w:rPr>
              <w:softHyphen/>
            </w:r>
            <w:r>
              <w:rPr>
                <w:rFonts w:hint="eastAsia"/>
              </w:rPr>
              <w:softHyphen/>
            </w:r>
            <w:r>
              <w:rPr>
                <w:rFonts w:hint="eastAsia"/>
              </w:rPr>
              <w:softHyphen/>
            </w:r>
            <w:r>
              <w:rPr>
                <w:rFonts w:hint="eastAsia"/>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softHyphen/>
            </w:r>
            <w:r>
              <w:rPr>
                <w:rFonts w:hint="eastAsia"/>
              </w:rPr>
              <w:softHyphen/>
            </w:r>
            <w:r>
              <w:rPr>
                <w:rFonts w:hint="eastAsia"/>
              </w:rPr>
              <w:softHyphen/>
            </w:r>
            <w:r>
              <w:rPr>
                <w:rFonts w:hint="eastAsia"/>
              </w:rPr>
              <w:softHyphen/>
            </w:r>
            <w:r>
              <w:rPr>
                <w:rFonts w:hint="eastAsia"/>
              </w:rPr>
              <w:softHyphen/>
            </w:r>
            <w:r>
              <w:rPr>
                <w:rFonts w:hint="eastAsia"/>
              </w:rPr>
              <w:t xml:space="preserve">邮    编：                                     电    话：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 xml:space="preserve">手    机：                                     传    真：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 xml:space="preserve">E – mail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1038" w:hRule="atLeast"/>
          <w:jc w:val="center"/>
        </w:trPr>
        <w:tc>
          <w:tcPr>
            <w:tcW w:w="9355"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参会申请人签名：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（加盖单位公章）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617" w:hRule="atLeast"/>
          <w:jc w:val="center"/>
        </w:trPr>
        <w:tc>
          <w:tcPr>
            <w:tcW w:w="9355"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备注：单位须将学员报名表发至：271916126@qq.com   此表信息对外保密，请您完整、详细填写！</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【联系咨询】</w:t>
      </w:r>
      <w:r>
        <w:rPr>
          <w:rFonts w:hint="eastAsia"/>
          <w:lang w:eastAsia="zh-CN"/>
        </w:rPr>
        <w:t>电</w:t>
      </w:r>
      <w:r>
        <w:rPr>
          <w:rFonts w:hint="eastAsia"/>
          <w:lang w:val="en-US" w:eastAsia="zh-CN"/>
        </w:rPr>
        <w:t xml:space="preserve">  </w:t>
      </w:r>
      <w:r>
        <w:rPr>
          <w:rFonts w:hint="eastAsia"/>
          <w:lang w:eastAsia="zh-CN"/>
        </w:rPr>
        <w:t>话</w:t>
      </w:r>
      <w:r>
        <w:rPr>
          <w:rFonts w:hint="eastAsia"/>
        </w:rPr>
        <w:t>：</w:t>
      </w:r>
      <w:r>
        <w:rPr>
          <w:rFonts w:hint="eastAsia"/>
          <w:lang w:val="en-US" w:eastAsia="zh-CN"/>
        </w:rPr>
        <w:t xml:space="preserve">13439064501 (同微信) 陈老师 </w:t>
      </w:r>
      <w:r>
        <w:rPr>
          <w:rFonts w:hint="eastAsia"/>
          <w:lang w:val="en-US" w:eastAsia="zh-CN"/>
        </w:rPr>
        <w:fldChar w:fldCharType="begin"/>
      </w:r>
      <w:r>
        <w:rPr>
          <w:rFonts w:hint="eastAsia"/>
          <w:lang w:val="en-US" w:eastAsia="zh-CN"/>
        </w:rPr>
        <w:instrText xml:space="preserve"> HYPERLINK "http://www.gototsinghua.org.cn  " </w:instrText>
      </w:r>
      <w:r>
        <w:rPr>
          <w:rFonts w:hint="eastAsia"/>
          <w:lang w:val="en-US" w:eastAsia="zh-CN"/>
        </w:rPr>
        <w:fldChar w:fldCharType="separate"/>
      </w:r>
      <w:r>
        <w:rPr>
          <w:rStyle w:val="9"/>
          <w:rFonts w:hint="eastAsia"/>
          <w:lang w:val="en-US" w:eastAsia="zh-CN"/>
        </w:rPr>
        <w:t xml:space="preserve">www.gototsinghua.org.cn  </w:t>
      </w:r>
      <w:r>
        <w:rPr>
          <w:rFonts w:hint="eastAsia"/>
          <w:lang w:val="en-US" w:eastAsia="zh-CN"/>
        </w:rPr>
        <w:fldChar w:fldCharType="end"/>
      </w:r>
      <w:r>
        <w:rPr>
          <w:rFonts w:hint="eastAsia"/>
          <w:lang w:val="en-US" w:eastAsia="zh-CN"/>
        </w:rPr>
        <w:t xml:space="preserve">            </w:t>
      </w:r>
    </w:p>
    <w:sectPr>
      <w:headerReference r:id="rId3" w:type="default"/>
      <w:footerReference r:id="rId4"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行楷">
    <w:altName w:val="微软雅黑"/>
    <w:panose1 w:val="02010800040101010101"/>
    <w:charset w:val="86"/>
    <w:family w:val="auto"/>
    <w:pitch w:val="default"/>
    <w:sig w:usb0="00000001" w:usb1="080F0000" w:usb2="00000000" w:usb3="00000000" w:csb0="00040000" w:csb1="00000000"/>
  </w:font>
  <w:font w:name="华文黑体">
    <w:altName w:val="黑体"/>
    <w:panose1 w:val="02010600040101010101"/>
    <w:charset w:val="86"/>
    <w:family w:val="auto"/>
    <w:pitch w:val="default"/>
    <w:sig w:usb0="A00022FF" w:usb1="F8CF7CFB" w:usb2="0002005F" w:usb3="00000000" w:csb0="601600DF" w:csb1="BFD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sz w:val="16"/>
        <w:szCs w:val="2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hint="eastAsia" w:ascii="华文行楷" w:hAnsi="华文行楷" w:eastAsia="华文行楷" w:cs="华文行楷"/>
        <w:sz w:val="21"/>
        <w:szCs w:val="32"/>
      </w:rPr>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552690" cy="10689590"/>
          <wp:effectExtent l="0" t="0" r="3810" b="3810"/>
          <wp:wrapNone/>
          <wp:docPr id="14" name="WordPictureWatermark58576" descr="背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58576" descr="背景图"/>
                  <pic:cNvPicPr>
                    <a:picLocks noChangeAspect="1"/>
                  </pic:cNvPicPr>
                </pic:nvPicPr>
                <pic:blipFill>
                  <a:blip r:embed="rId1"/>
                  <a:stretch>
                    <a:fillRect/>
                  </a:stretch>
                </pic:blipFill>
                <pic:spPr>
                  <a:xfrm>
                    <a:off x="0" y="0"/>
                    <a:ext cx="7552690" cy="1068959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1"/>
  <w:drawingGridVerticalSpacing w:val="31"/>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DDF"/>
    <w:rsid w:val="00007ACE"/>
    <w:rsid w:val="000267E5"/>
    <w:rsid w:val="000508AD"/>
    <w:rsid w:val="00056B10"/>
    <w:rsid w:val="00062C46"/>
    <w:rsid w:val="000B1351"/>
    <w:rsid w:val="000B2D11"/>
    <w:rsid w:val="000B4449"/>
    <w:rsid w:val="000E2FE0"/>
    <w:rsid w:val="00167F1A"/>
    <w:rsid w:val="001706A2"/>
    <w:rsid w:val="0019038D"/>
    <w:rsid w:val="001F6036"/>
    <w:rsid w:val="00232586"/>
    <w:rsid w:val="002C287E"/>
    <w:rsid w:val="00301285"/>
    <w:rsid w:val="00315D2B"/>
    <w:rsid w:val="003366BA"/>
    <w:rsid w:val="00347CAD"/>
    <w:rsid w:val="003577B1"/>
    <w:rsid w:val="003750CC"/>
    <w:rsid w:val="0038357D"/>
    <w:rsid w:val="003E075E"/>
    <w:rsid w:val="003E375A"/>
    <w:rsid w:val="00441AB5"/>
    <w:rsid w:val="00446EBB"/>
    <w:rsid w:val="004715B0"/>
    <w:rsid w:val="00491FA2"/>
    <w:rsid w:val="004B28E3"/>
    <w:rsid w:val="004D67DE"/>
    <w:rsid w:val="00500D40"/>
    <w:rsid w:val="0056654B"/>
    <w:rsid w:val="0057571C"/>
    <w:rsid w:val="005A2372"/>
    <w:rsid w:val="005E0732"/>
    <w:rsid w:val="006100B4"/>
    <w:rsid w:val="00626F0D"/>
    <w:rsid w:val="00657779"/>
    <w:rsid w:val="00672F98"/>
    <w:rsid w:val="006B694A"/>
    <w:rsid w:val="006C40C5"/>
    <w:rsid w:val="006E17B8"/>
    <w:rsid w:val="006E35FD"/>
    <w:rsid w:val="00704131"/>
    <w:rsid w:val="00717B9D"/>
    <w:rsid w:val="007546D0"/>
    <w:rsid w:val="007946E1"/>
    <w:rsid w:val="0083713D"/>
    <w:rsid w:val="008A5BF7"/>
    <w:rsid w:val="008B19C9"/>
    <w:rsid w:val="008C37AE"/>
    <w:rsid w:val="008F72FC"/>
    <w:rsid w:val="00946909"/>
    <w:rsid w:val="00986A0C"/>
    <w:rsid w:val="009B0D60"/>
    <w:rsid w:val="009B4DAF"/>
    <w:rsid w:val="00A162A4"/>
    <w:rsid w:val="00A16D3A"/>
    <w:rsid w:val="00A2226B"/>
    <w:rsid w:val="00A344FA"/>
    <w:rsid w:val="00A41000"/>
    <w:rsid w:val="00A415E4"/>
    <w:rsid w:val="00A6360A"/>
    <w:rsid w:val="00A97B75"/>
    <w:rsid w:val="00AC7719"/>
    <w:rsid w:val="00B72BFF"/>
    <w:rsid w:val="00B921E7"/>
    <w:rsid w:val="00BE459E"/>
    <w:rsid w:val="00C5288E"/>
    <w:rsid w:val="00C60F05"/>
    <w:rsid w:val="00C66F2C"/>
    <w:rsid w:val="00C75BC8"/>
    <w:rsid w:val="00C90219"/>
    <w:rsid w:val="00C9614A"/>
    <w:rsid w:val="00CB4554"/>
    <w:rsid w:val="00CC0811"/>
    <w:rsid w:val="00D0043E"/>
    <w:rsid w:val="00D40DBA"/>
    <w:rsid w:val="00D44B67"/>
    <w:rsid w:val="00D7164B"/>
    <w:rsid w:val="00D74F96"/>
    <w:rsid w:val="00DB6C72"/>
    <w:rsid w:val="00DC34FC"/>
    <w:rsid w:val="00DC3A0E"/>
    <w:rsid w:val="00DE68C8"/>
    <w:rsid w:val="00E04E22"/>
    <w:rsid w:val="00E113A5"/>
    <w:rsid w:val="00E64235"/>
    <w:rsid w:val="00E80AA3"/>
    <w:rsid w:val="00E84F50"/>
    <w:rsid w:val="00F42799"/>
    <w:rsid w:val="00F6534B"/>
    <w:rsid w:val="00F922E5"/>
    <w:rsid w:val="00FC4701"/>
    <w:rsid w:val="00FD2E3D"/>
    <w:rsid w:val="01D477D6"/>
    <w:rsid w:val="021A58ED"/>
    <w:rsid w:val="02974240"/>
    <w:rsid w:val="02FF2487"/>
    <w:rsid w:val="032C73B5"/>
    <w:rsid w:val="04E655EB"/>
    <w:rsid w:val="04FE7EB2"/>
    <w:rsid w:val="061A1D5B"/>
    <w:rsid w:val="070827CB"/>
    <w:rsid w:val="07106717"/>
    <w:rsid w:val="080A160C"/>
    <w:rsid w:val="09134173"/>
    <w:rsid w:val="09E00043"/>
    <w:rsid w:val="0BBA5653"/>
    <w:rsid w:val="0CA06BD1"/>
    <w:rsid w:val="0D29108A"/>
    <w:rsid w:val="0DD11656"/>
    <w:rsid w:val="0E3C55CB"/>
    <w:rsid w:val="0FA14737"/>
    <w:rsid w:val="10A854E3"/>
    <w:rsid w:val="111749B8"/>
    <w:rsid w:val="11787198"/>
    <w:rsid w:val="124F5C86"/>
    <w:rsid w:val="1350423A"/>
    <w:rsid w:val="159254D1"/>
    <w:rsid w:val="15B70706"/>
    <w:rsid w:val="166904A0"/>
    <w:rsid w:val="175D04BC"/>
    <w:rsid w:val="177F3FC7"/>
    <w:rsid w:val="18D01A4A"/>
    <w:rsid w:val="1A536F40"/>
    <w:rsid w:val="1B027686"/>
    <w:rsid w:val="1B664B02"/>
    <w:rsid w:val="1C1D71A1"/>
    <w:rsid w:val="1D506299"/>
    <w:rsid w:val="1DBF06B1"/>
    <w:rsid w:val="1F6154E1"/>
    <w:rsid w:val="1F766DFA"/>
    <w:rsid w:val="1F9649FC"/>
    <w:rsid w:val="1FFF5185"/>
    <w:rsid w:val="22D70947"/>
    <w:rsid w:val="234E0ADB"/>
    <w:rsid w:val="23872065"/>
    <w:rsid w:val="23DA1DCB"/>
    <w:rsid w:val="2514122D"/>
    <w:rsid w:val="25760785"/>
    <w:rsid w:val="26531DFA"/>
    <w:rsid w:val="266B694C"/>
    <w:rsid w:val="268A1217"/>
    <w:rsid w:val="26960BDD"/>
    <w:rsid w:val="27CD66DB"/>
    <w:rsid w:val="284C37E6"/>
    <w:rsid w:val="295F6F39"/>
    <w:rsid w:val="297963A8"/>
    <w:rsid w:val="2AE475DF"/>
    <w:rsid w:val="2BEF371E"/>
    <w:rsid w:val="2C291503"/>
    <w:rsid w:val="2EA30912"/>
    <w:rsid w:val="2EBE40BB"/>
    <w:rsid w:val="2FC21684"/>
    <w:rsid w:val="30E47B35"/>
    <w:rsid w:val="31AD4DA0"/>
    <w:rsid w:val="3386218F"/>
    <w:rsid w:val="33DA462E"/>
    <w:rsid w:val="359B4FD6"/>
    <w:rsid w:val="360275D1"/>
    <w:rsid w:val="371D7FC9"/>
    <w:rsid w:val="37D73142"/>
    <w:rsid w:val="37EF0860"/>
    <w:rsid w:val="38440DF5"/>
    <w:rsid w:val="39640DA5"/>
    <w:rsid w:val="3A4E782C"/>
    <w:rsid w:val="3B3A39AC"/>
    <w:rsid w:val="3BA23904"/>
    <w:rsid w:val="3C2564BB"/>
    <w:rsid w:val="3C5F4F47"/>
    <w:rsid w:val="3CBF46B0"/>
    <w:rsid w:val="3D561BF6"/>
    <w:rsid w:val="3F2F20EF"/>
    <w:rsid w:val="3F3D3D42"/>
    <w:rsid w:val="40014D61"/>
    <w:rsid w:val="40C33316"/>
    <w:rsid w:val="43383AE5"/>
    <w:rsid w:val="43FA52C6"/>
    <w:rsid w:val="44CD6A1C"/>
    <w:rsid w:val="45A47B48"/>
    <w:rsid w:val="45B1171D"/>
    <w:rsid w:val="46311534"/>
    <w:rsid w:val="472E530C"/>
    <w:rsid w:val="48E07B1E"/>
    <w:rsid w:val="49464866"/>
    <w:rsid w:val="4A314422"/>
    <w:rsid w:val="4AD228FC"/>
    <w:rsid w:val="4BE8374D"/>
    <w:rsid w:val="4D9216B1"/>
    <w:rsid w:val="4DEE3F52"/>
    <w:rsid w:val="4E4D7FD8"/>
    <w:rsid w:val="4E6442F0"/>
    <w:rsid w:val="4F3F4665"/>
    <w:rsid w:val="4F545534"/>
    <w:rsid w:val="4F7D219E"/>
    <w:rsid w:val="4F85060C"/>
    <w:rsid w:val="500768CC"/>
    <w:rsid w:val="51A60A33"/>
    <w:rsid w:val="521C74CB"/>
    <w:rsid w:val="52994CAA"/>
    <w:rsid w:val="52A001D7"/>
    <w:rsid w:val="530B246E"/>
    <w:rsid w:val="531A1DD0"/>
    <w:rsid w:val="53E33498"/>
    <w:rsid w:val="54377116"/>
    <w:rsid w:val="5488075B"/>
    <w:rsid w:val="552D2D6E"/>
    <w:rsid w:val="56104C64"/>
    <w:rsid w:val="567829AC"/>
    <w:rsid w:val="572C4D1A"/>
    <w:rsid w:val="575539D5"/>
    <w:rsid w:val="595B319A"/>
    <w:rsid w:val="5A0872D0"/>
    <w:rsid w:val="5AD71099"/>
    <w:rsid w:val="5BB31D00"/>
    <w:rsid w:val="5C05424C"/>
    <w:rsid w:val="5C292136"/>
    <w:rsid w:val="5D3020B6"/>
    <w:rsid w:val="5DD468C3"/>
    <w:rsid w:val="5E6B69F6"/>
    <w:rsid w:val="5F3A695D"/>
    <w:rsid w:val="5F6434F1"/>
    <w:rsid w:val="5F915F42"/>
    <w:rsid w:val="60C02E7A"/>
    <w:rsid w:val="62122FF4"/>
    <w:rsid w:val="62654FFD"/>
    <w:rsid w:val="62856C85"/>
    <w:rsid w:val="64044B04"/>
    <w:rsid w:val="64415E01"/>
    <w:rsid w:val="65031CBA"/>
    <w:rsid w:val="65A3400D"/>
    <w:rsid w:val="6699163D"/>
    <w:rsid w:val="66AC4059"/>
    <w:rsid w:val="674525FC"/>
    <w:rsid w:val="689105D6"/>
    <w:rsid w:val="6A0F2A90"/>
    <w:rsid w:val="6A4114F4"/>
    <w:rsid w:val="6AA52C2A"/>
    <w:rsid w:val="6AF76FAA"/>
    <w:rsid w:val="6EB61B4B"/>
    <w:rsid w:val="6FC4678D"/>
    <w:rsid w:val="71137F9C"/>
    <w:rsid w:val="724023F2"/>
    <w:rsid w:val="726B3D65"/>
    <w:rsid w:val="73593095"/>
    <w:rsid w:val="738F27CA"/>
    <w:rsid w:val="747F129F"/>
    <w:rsid w:val="75007F68"/>
    <w:rsid w:val="7522035E"/>
    <w:rsid w:val="7598554B"/>
    <w:rsid w:val="75D86B4E"/>
    <w:rsid w:val="766E3D4F"/>
    <w:rsid w:val="76BC6F10"/>
    <w:rsid w:val="76C05D62"/>
    <w:rsid w:val="76DE7561"/>
    <w:rsid w:val="76F44839"/>
    <w:rsid w:val="776E100B"/>
    <w:rsid w:val="77CD4918"/>
    <w:rsid w:val="77EC54CF"/>
    <w:rsid w:val="786E66CA"/>
    <w:rsid w:val="7890709A"/>
    <w:rsid w:val="799B71AE"/>
    <w:rsid w:val="7BD93BAC"/>
    <w:rsid w:val="7C0C07FF"/>
    <w:rsid w:val="7D883202"/>
    <w:rsid w:val="7E017648"/>
    <w:rsid w:val="7E216AE0"/>
    <w:rsid w:val="7E31658A"/>
    <w:rsid w:val="7E8C6597"/>
    <w:rsid w:val="7EF51656"/>
    <w:rsid w:val="7F1E459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3"/>
    <w:basedOn w:val="1"/>
    <w:next w:val="1"/>
    <w:unhideWhenUsed/>
    <w:qFormat/>
    <w:uiPriority w:val="9"/>
    <w:pPr>
      <w:spacing w:before="100" w:beforeAutospacing="1" w:after="10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uiPriority w:val="0"/>
  </w:style>
  <w:style w:type="table" w:default="1" w:styleId="5">
    <w:name w:val="Normal Table"/>
    <w:unhideWhenUsed/>
    <w:uiPriority w:val="99"/>
    <w:tblPr>
      <w:tblStyle w:val="5"/>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table" w:styleId="6">
    <w:name w:val="Table Grid"/>
    <w:basedOn w:val="5"/>
    <w:unhideWhenUsed/>
    <w:qFormat/>
    <w:uiPriority w:val="99"/>
    <w:pPr>
      <w:widowControl w:val="0"/>
      <w:jc w:val="both"/>
    </w:pPr>
    <w:rPr>
      <w:rFonts w:eastAsia="Times New Roman"/>
    </w:rPr>
    <w:tblPr>
      <w:tblStyle w:val="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page number"/>
    <w:basedOn w:val="7"/>
    <w:unhideWhenUsed/>
    <w:uiPriority w:val="99"/>
  </w:style>
  <w:style w:type="character" w:styleId="9">
    <w:name w:val="Hyperlink"/>
    <w:unhideWhenUsed/>
    <w:uiPriority w:val="99"/>
    <w:rPr>
      <w:color w:val="000000"/>
      <w:u w:val="none"/>
    </w:rPr>
  </w:style>
  <w:style w:type="character" w:customStyle="1" w:styleId="10">
    <w:name w:val="style151"/>
    <w:uiPriority w:val="0"/>
    <w:rPr>
      <w:b/>
      <w:bCs/>
      <w:color w:val="0066FF"/>
      <w:sz w:val="21"/>
      <w:szCs w:val="21"/>
    </w:rPr>
  </w:style>
  <w:style w:type="character" w:customStyle="1" w:styleId="11">
    <w:name w:val="px14"/>
    <w:basedOn w:val="7"/>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3274</Words>
  <Characters>3340</Characters>
  <Lines>41</Lines>
  <Paragraphs>11</Paragraphs>
  <TotalTime>1</TotalTime>
  <ScaleCrop>false</ScaleCrop>
  <LinksUpToDate>false</LinksUpToDate>
  <CharactersWithSpaces>3660</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2014-11-05T09:25:00Z</dcterms:created>
  <dc:creator>Administrator</dc:creator>
  <cp:lastModifiedBy>清华总裁班陈伟宏</cp:lastModifiedBy>
  <dcterms:modified xsi:type="dcterms:W3CDTF">2020-04-06T15:56:28Z</dcterms:modified>
  <dc:title>清大(建筑行业)总裁研修班</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