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黑简体" w:hAnsi="方正大黑简体" w:eastAsia="方正大黑简体" w:cs="方正大黑简体"/>
          <w:b/>
          <w:sz w:val="44"/>
          <w:szCs w:val="44"/>
        </w:rPr>
      </w:pPr>
      <w:r>
        <w:rPr>
          <w:rFonts w:hint="eastAsia" w:ascii="方正大黑简体" w:hAnsi="方正大黑简体" w:eastAsia="方正大黑简体" w:cs="方正大黑简体"/>
          <w:b/>
          <w:sz w:val="44"/>
          <w:szCs w:val="44"/>
        </w:rPr>
        <w:t>公司治理与资本运营总裁班</w:t>
      </w:r>
    </w:p>
    <w:p>
      <w:pPr>
        <w:spacing w:line="360" w:lineRule="auto"/>
        <w:rPr>
          <w:b/>
          <w:bCs/>
          <w:color w:val="7030A0"/>
          <w:sz w:val="24"/>
        </w:rPr>
      </w:pPr>
      <w:r>
        <w:rPr>
          <w:color w:val="7030A0"/>
          <w:sz w:val="44"/>
        </w:rPr>
        <w:pict>
          <v:rect id="矩形 1029" o:spid="_x0000_s1026" o:spt="1" style="position:absolute;left:0pt;margin-left:-4.5pt;margin-top:23.25pt;height:48.65pt;width:458.5pt;z-index:-251668480;mso-width-relative:page;mso-height-relative:page;" filled="f" stroked="t" coordsize="21600,21600" o:gfxdata="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LhWbZAAAA&#10;CQEAAA8AAAAAAAAAAQAgAAAAIgAAAGRycy9kb3ducmV2LnhtbFBLAQIUABQAAAAIAIdO4kDF9D+z&#10;4wEAAKsDAAAOAAAAAAAAAAEAIAAAACgBAABkcnMvZTJvRG9jLnhtbFBLBQYAAAAABgAGAFkBAAB9&#10;BQAAAAA=&#10;">
            <v:path/>
            <v:fill on="f" focussize="0,0"/>
            <v:stroke color="#7030A0"/>
            <v:imagedata o:title=""/>
            <o:lock v:ext="edit"/>
          </v:rect>
        </w:pict>
      </w:r>
    </w:p>
    <w:p>
      <w:pPr>
        <w:spacing w:line="360" w:lineRule="auto"/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  <w:r>
        <w:rPr>
          <w:rFonts w:hint="eastAsia"/>
          <w:b/>
          <w:bCs/>
          <w:color w:val="7030A0"/>
          <w:sz w:val="24"/>
        </w:rPr>
        <w:t>以清华大学EMBA核心教授、资本运营实战专家为主要导师团队，帮助学员提升管理能力，优化公司治理，拓展资本视野，把握投资决策，占据金融高地。</w:t>
      </w:r>
    </w:p>
    <w:p>
      <w:pPr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</w:p>
    <w:p>
      <w:pPr>
        <w:rPr>
          <w:b/>
          <w:bCs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【项目背景】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伟大的公司无须伟大的领导者，健康的公司治理往往能成为企业维持组织稳定和持续发展的动力-《基业常青》。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在中国经济全面融入国际社会主流，全球经济一体化的今天，中国企业面临着多种发展机遇和挑战。在目前的商业竞争环境中，健康的公司治理与善于资本运作是企业发展致胜的两大核心。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2006年至今，清华人以“强大中国企业家队伍”为使命，面向市场经济的成功实践者，开设《公司治理与资本运营总裁项目》，帮助学员优化公司治理、拓展资本视野、正确投融资决策，3000多位知名企业高层管理人员参加了系统学习。</w:t>
      </w:r>
    </w:p>
    <w:p>
      <w:pPr>
        <w:spacing w:line="360" w:lineRule="auto"/>
        <w:ind w:firstLine="560"/>
        <w:rPr>
          <w:sz w:val="24"/>
        </w:rPr>
      </w:pPr>
      <w:r>
        <w:rPr>
          <w:rFonts w:hint="eastAsia"/>
          <w:sz w:val="24"/>
        </w:rPr>
        <w:t>2016年以来，清华人以“中国深度、世界广度”为定位，遴选最优师资，紧扣公司治理与资本运营两大主题，同时整合了企业管理方面知识，加强了企业家人文精神的塑造和领导力培育，灌输资本运作新理念，开设第三十期 《公司治理与资本运营总裁班》，帮助学员有效地实现管理、治理、资本运作能力的多向提升。</w:t>
      </w:r>
    </w:p>
    <w:p>
      <w:pPr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【核心价值】</w:t>
      </w:r>
    </w:p>
    <w:p>
      <w:pPr>
        <w:rPr>
          <w:rStyle w:val="8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把脉发展趋势-</w:t>
      </w:r>
      <w:r>
        <w:rPr>
          <w:rFonts w:hint="eastAsia"/>
          <w:sz w:val="24"/>
        </w:rPr>
        <w:t>把握中国公司治理的发展现状及趋势，建立完善的现代公司治理结构。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建立治理体系</w:t>
      </w:r>
      <w:r>
        <w:rPr>
          <w:rFonts w:hint="eastAsia"/>
          <w:sz w:val="24"/>
        </w:rPr>
        <w:t>-理清资本运营与生产经营的内在联系，用最优的治理让资本运营更顺畅。</w:t>
      </w:r>
      <w:r>
        <w:rPr>
          <w:rFonts w:hint="eastAsia"/>
          <w:b/>
          <w:bCs/>
          <w:sz w:val="24"/>
        </w:rPr>
        <w:t>把控运营要点</w:t>
      </w:r>
      <w:r>
        <w:rPr>
          <w:rFonts w:hint="eastAsia"/>
          <w:sz w:val="24"/>
        </w:rPr>
        <w:t>-明确企业资本运营过程中需注意的问题与风险，寻求最佳的解决方案。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全面方法设计</w:t>
      </w:r>
      <w:r>
        <w:rPr>
          <w:rFonts w:hint="eastAsia"/>
          <w:sz w:val="24"/>
        </w:rPr>
        <w:t>-掌握国际最新的资本运营手段及方法，为企业的资本运营寻找出路。</w:t>
      </w:r>
    </w:p>
    <w:p>
      <w:pPr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</w:p>
    <w:p>
      <w:pPr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【科学设计】</w:t>
      </w:r>
    </w:p>
    <w:p>
      <w:pPr>
        <w:rPr>
          <w:rStyle w:val="8"/>
          <w:b/>
          <w:bCs/>
          <w:sz w:val="28"/>
          <w:szCs w:val="28"/>
        </w:rPr>
      </w:pPr>
      <w:r>
        <w:rPr>
          <w:rStyle w:val="8"/>
          <w:rFonts w:hint="eastAsia"/>
          <w:sz w:val="24"/>
        </w:rPr>
        <w:t>清华最优师资，整合管理课程，帮助学员有效地实现管理、治理、资本能力的多向提升。</w:t>
      </w:r>
    </w:p>
    <w:tbl>
      <w:tblPr>
        <w:tblStyle w:val="5"/>
        <w:tblW w:w="900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4"/>
        <w:gridCol w:w="4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宏观经济分析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战略管理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中国资本市场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全球金融系统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私募基金市场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国际基金运作方式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金融改革与投资人机遇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未来企业面临挑战与发展趋势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动态竞争分析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信息战略的作用及影响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建立成功的战略联盟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战略实施与组织机构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438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323"/>
                <w:tab w:val="center" w:pos="2077"/>
              </w:tabs>
              <w:jc w:val="left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  <w:t>公司治理</w:t>
            </w:r>
          </w:p>
        </w:tc>
        <w:tc>
          <w:tcPr>
            <w:tcW w:w="4521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收购兼并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9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现代企业制度与治理结构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公司治理中的激励与约束机制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董事会运作实务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公司治理法律法规</w:t>
            </w:r>
          </w:p>
        </w:tc>
        <w:tc>
          <w:tcPr>
            <w:tcW w:w="4521" w:type="dxa"/>
            <w:tcBorders>
              <w:top w:val="single" w:color="auto" w:sz="0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收购与兼并对象的选择与评估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收购与兼并的交易结构和融资工具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收购与兼并前计划与后整合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培养收购与兼并能力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并购重组</w:t>
            </w:r>
          </w:p>
        </w:tc>
        <w:tc>
          <w:tcPr>
            <w:tcW w:w="4521" w:type="dxa"/>
            <w:tcBorders>
              <w:top w:val="single" w:color="auto" w:sz="0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风险投资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9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并购理论前沿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重组过程中的谈判策略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企业重组的价值与收益评估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MBO与雇员持股计划</w:t>
            </w:r>
          </w:p>
        </w:tc>
        <w:tc>
          <w:tcPr>
            <w:tcW w:w="4521" w:type="dxa"/>
            <w:tcBorders>
              <w:top w:val="single" w:color="auto" w:sz="0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创投产业的实务与案例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风险投资的退出机制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风险投资的融资活动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风险投资相关法律与财务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0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战略稳健与财务资源能力分析</w:t>
            </w:r>
          </w:p>
        </w:tc>
        <w:tc>
          <w:tcPr>
            <w:tcW w:w="4521" w:type="dxa"/>
            <w:tcBorders>
              <w:top w:val="single" w:color="auto" w:sz="0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上市战略的选择与操作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0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现代企业融资体系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财务战略储备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合并报表与集团管控风险</w:t>
            </w:r>
          </w:p>
        </w:tc>
        <w:tc>
          <w:tcPr>
            <w:tcW w:w="4521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国内外主板和创业板上市战略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不同上市地的审批、监管及规则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上市过程中流程及操作</w:t>
            </w:r>
          </w:p>
          <w:p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上市之前与当中的财务审计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私募股权基金的实操（一）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私募股权基金的实操（二）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私募股权基金的设立募集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私募股权基金的项目投资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私募股权投资基金管理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私募股权投资基金退出机制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投资决策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融资决策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内部融资、股权融资、债权融资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债权投资、股票投资、基金投资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领导学-领导艺术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>传统文化在现代管理的应用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tblCellSpacing w:w="15" w:type="dxa"/>
          <w:jc w:val="center"/>
        </w:trPr>
        <w:tc>
          <w:tcPr>
            <w:tcW w:w="4389" w:type="dxa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领导力之个人与他人和谐—情商影响力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领导力之个人同组织和谐—价值观为本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和谐领导力之自我和谐—阳光心态</w:t>
            </w:r>
          </w:p>
        </w:tc>
        <w:tc>
          <w:tcPr>
            <w:tcW w:w="452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国学识人用人智慧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-《人物志》现代解读</w:t>
            </w:r>
          </w:p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易经与决策思维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【师资介绍】</w:t>
      </w:r>
    </w:p>
    <w:tbl>
      <w:tblPr>
        <w:tblStyle w:val="6"/>
        <w:tblpPr w:leftFromText="180" w:rightFromText="180" w:vertAnchor="text" w:horzAnchor="page" w:tblpX="1803" w:tblpY="207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4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50" w:type="dxa"/>
            <w:gridSpan w:val="2"/>
            <w:shd w:val="clear" w:color="auto" w:fill="7030A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41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22860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32385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4412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126490"/>
                  <wp:effectExtent l="0" t="0" r="6985" b="16510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63500</wp:posOffset>
                  </wp:positionV>
                  <wp:extent cx="842645" cy="107569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  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441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75565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4412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116330"/>
                  <wp:effectExtent l="0" t="0" r="0" b="7620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：清华经管学院MBA教授，美加学员兼职教授，美国项目管理协会会员兼培训教授。辅导内容：《企业投融资战略》、《投融资案例分析》、《资本运作》、《融资实务管理》、《企业资本运营战略》。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1078230"/>
                  <wp:effectExtent l="0" t="0" r="15240" b="7620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441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27000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27635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中国研究《人物志》第一人，清华大学教授，博士生导师。辅导内容：《企业人才的选用育留》、《中国传统文化中的管理思想》。</w:t>
            </w:r>
          </w:p>
        </w:tc>
      </w:tr>
    </w:tbl>
    <w:p>
      <w:pPr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【我们校友】</w:t>
      </w:r>
    </w:p>
    <w:p>
      <w:pPr>
        <w:tabs>
          <w:tab w:val="right" w:pos="9020"/>
        </w:tabs>
        <w:spacing w:line="360" w:lineRule="auto"/>
        <w:ind w:firstLine="480"/>
        <w:rPr>
          <w:rFonts w:cs="宋体"/>
          <w:sz w:val="24"/>
        </w:rPr>
      </w:pPr>
      <w:r>
        <w:rPr>
          <w:rFonts w:hint="eastAsia" w:cs="宋体"/>
          <w:sz w:val="24"/>
        </w:rPr>
        <w:t>自2006年举办至今，3000名学员企业已经覆盖了</w:t>
      </w:r>
      <w:r>
        <w:rPr>
          <w:rFonts w:cs="宋体"/>
          <w:sz w:val="24"/>
        </w:rPr>
        <w:t>34</w:t>
      </w:r>
      <w:r>
        <w:rPr>
          <w:rFonts w:hint="eastAsia" w:cs="宋体"/>
          <w:sz w:val="24"/>
        </w:rPr>
        <w:t>大行业，</w:t>
      </w:r>
      <w:r>
        <w:rPr>
          <w:rFonts w:cs="宋体"/>
          <w:sz w:val="24"/>
        </w:rPr>
        <w:t>216</w:t>
      </w:r>
      <w:r>
        <w:rPr>
          <w:rFonts w:hint="eastAsia" w:cs="宋体"/>
          <w:sz w:val="24"/>
        </w:rPr>
        <w:t>个产业类型。制造业企业占比</w:t>
      </w:r>
      <w:r>
        <w:rPr>
          <w:rFonts w:cs="宋体"/>
          <w:sz w:val="24"/>
        </w:rPr>
        <w:t>30%</w:t>
      </w:r>
      <w:r>
        <w:rPr>
          <w:rFonts w:hint="eastAsia" w:cs="宋体"/>
          <w:sz w:val="24"/>
        </w:rPr>
        <w:t>，建筑</w:t>
      </w:r>
      <w:r>
        <w:rPr>
          <w:rFonts w:cs="宋体"/>
          <w:sz w:val="24"/>
        </w:rPr>
        <w:t>/</w:t>
      </w:r>
      <w:r>
        <w:rPr>
          <w:rFonts w:hint="eastAsia" w:cs="宋体"/>
          <w:sz w:val="24"/>
        </w:rPr>
        <w:t>房地产行业企业占比25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</w:rPr>
        <w:t>，金融及投融资行业企业占比</w:t>
      </w:r>
      <w:r>
        <w:rPr>
          <w:rFonts w:cs="宋体"/>
          <w:sz w:val="24"/>
        </w:rPr>
        <w:t>1</w:t>
      </w:r>
      <w:r>
        <w:rPr>
          <w:rFonts w:hint="eastAsia" w:cs="宋体"/>
          <w:sz w:val="24"/>
        </w:rPr>
        <w:t>8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</w:rPr>
        <w:t>。平均年龄39岁，平工作经验</w:t>
      </w:r>
      <w:r>
        <w:rPr>
          <w:rFonts w:cs="宋体"/>
          <w:sz w:val="24"/>
        </w:rPr>
        <w:t>1</w:t>
      </w:r>
      <w:r>
        <w:rPr>
          <w:rFonts w:hint="eastAsia" w:cs="宋体"/>
          <w:sz w:val="24"/>
        </w:rPr>
        <w:t>0年，平均管理经验8年，高层管理人员比例超过</w:t>
      </w:r>
      <w:r>
        <w:rPr>
          <w:rFonts w:cs="宋体"/>
          <w:sz w:val="24"/>
        </w:rPr>
        <w:t>95%</w:t>
      </w:r>
      <w:r>
        <w:rPr>
          <w:rFonts w:hint="eastAsia" w:cs="宋体"/>
          <w:sz w:val="24"/>
        </w:rPr>
        <w:t>。</w:t>
      </w:r>
    </w:p>
    <w:p>
      <w:pPr>
        <w:spacing w:line="360" w:lineRule="auto"/>
      </w:pPr>
      <w:r>
        <w:rPr>
          <w:rFonts w:hint="eastAsia"/>
        </w:rPr>
        <w:drawing>
          <wp:inline distT="0" distB="0" distL="114300" distR="114300">
            <wp:extent cx="5727065" cy="824865"/>
            <wp:effectExtent l="0" t="0" r="6985" b="13335"/>
            <wp:docPr id="6" name="图片 6" descr="企业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单位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方正大黑简体" w:hAnsi="方正大黑简体" w:eastAsia="方正大黑简体" w:cs="方正大黑简体"/>
          <w:b/>
          <w:bCs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color w:val="7030A0"/>
          <w:sz w:val="32"/>
          <w:szCs w:val="32"/>
        </w:rPr>
        <w:t>【学习收获】</w:t>
      </w:r>
    </w:p>
    <w:p>
      <w:pPr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t>解决问题：解决企业发展问题，辅翼企业健康稳定可持续发展。</w:t>
      </w:r>
    </w:p>
    <w:p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t>缔结信任：汇聚信任优秀企业，结合各自优势实现多样化合作。</w:t>
      </w:r>
    </w:p>
    <w:p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t>合作共赢：打造优秀精英平台，实现汇仁汇智汇商合作资源库。</w:t>
      </w:r>
    </w:p>
    <w:p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t>智库支持：清华最优产研教授，实战投资专家产业资本投融资。</w:t>
      </w:r>
    </w:p>
    <w:p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t>产业支持：清控产业资本对接，汇集健康医疗及并购基金产业。</w:t>
      </w:r>
    </w:p>
    <w:p>
      <w:pPr>
        <w:rPr>
          <w:rFonts w:ascii="微软雅黑" w:hAnsi="微软雅黑" w:eastAsia="微软雅黑"/>
          <w:b/>
          <w:color w:val="7030A0"/>
          <w:sz w:val="30"/>
          <w:szCs w:val="30"/>
        </w:rPr>
      </w:pPr>
    </w:p>
    <w:p>
      <w:pPr>
        <w:jc w:val="center"/>
      </w:pPr>
      <w:r>
        <w:rPr>
          <w:rFonts w:hint="eastAsia" w:ascii="微软雅黑" w:hAnsi="微软雅黑" w:eastAsia="微软雅黑"/>
          <w:b/>
          <w:color w:val="7030A0"/>
          <w:sz w:val="30"/>
          <w:szCs w:val="30"/>
        </w:rPr>
        <w:t>我 们 欢 迎 你</w:t>
      </w:r>
    </w:p>
    <w:p>
      <w:pPr>
        <w:spacing w:line="400" w:lineRule="exact"/>
        <w:ind w:left="-426" w:leftChars="-203"/>
        <w:outlineLvl w:val="0"/>
        <w:rPr>
          <w:rFonts w:ascii="微软雅黑" w:hAnsi="微软雅黑" w:eastAsia="微软雅黑"/>
          <w:b/>
          <w:color w:val="404040"/>
          <w:sz w:val="24"/>
        </w:rPr>
      </w:pPr>
      <w:r>
        <w:rPr>
          <w:rFonts w:hint="eastAsia" w:ascii="微软雅黑" w:hAnsi="微软雅黑" w:eastAsia="微软雅黑"/>
          <w:b/>
          <w:color w:val="404040"/>
          <w:sz w:val="24"/>
        </w:rPr>
        <w:t>招生对象</w:t>
      </w:r>
    </w:p>
    <w:p>
      <w:pPr>
        <w:spacing w:line="30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>
      <w:pPr>
        <w:pBdr>
          <w:bottom w:val="single" w:color="auto" w:sz="4" w:space="0"/>
        </w:pBdr>
        <w:spacing w:line="420" w:lineRule="exact"/>
        <w:ind w:left="-424" w:leftChars="-202"/>
        <w:outlineLvl w:val="0"/>
        <w:rPr>
          <w:rFonts w:ascii="微软雅黑" w:hAnsi="微软雅黑" w:eastAsia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/>
          <w:b/>
          <w:bCs/>
          <w:color w:val="FF0000"/>
          <w:szCs w:val="21"/>
        </w:rPr>
        <w:t>本期计划：招生100人</w:t>
      </w: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b/>
          <w:color w:val="404040"/>
          <w:sz w:val="24"/>
        </w:rPr>
      </w:pPr>
      <w:r>
        <w:rPr>
          <w:rFonts w:hint="eastAsia" w:ascii="微软雅黑" w:hAnsi="微软雅黑" w:eastAsia="微软雅黑"/>
          <w:b/>
          <w:color w:val="404040"/>
          <w:sz w:val="24"/>
        </w:rPr>
        <w:t>学习安排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学制一年，每月集中授课2-3天，共计8次18天课程包含一次考察，一次论坛。结业后可终身复修。</w:t>
      </w: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b/>
          <w:color w:val="404040"/>
          <w:sz w:val="24"/>
        </w:rPr>
      </w:pPr>
      <w:r>
        <w:rPr>
          <w:rFonts w:hint="eastAsia" w:ascii="微软雅黑" w:hAnsi="微软雅黑" w:eastAsia="微软雅黑"/>
          <w:b/>
          <w:color w:val="404040"/>
          <w:sz w:val="24"/>
        </w:rPr>
        <w:t>学习费用</w:t>
      </w:r>
    </w:p>
    <w:p>
      <w:pPr>
        <w:spacing w:line="36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RMB 30000元/人/学年（含一年的教学、教材、资料，食宿交通费用自理）。</w:t>
      </w:r>
    </w:p>
    <w:p>
      <w:pPr>
        <w:spacing w:line="36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收费方式：入学前由优清商学院财务部统一收取，学费到帐后统一开具发票。</w:t>
      </w: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b/>
          <w:color w:val="404040"/>
          <w:sz w:val="24"/>
        </w:rPr>
      </w:pPr>
      <w:r>
        <w:rPr>
          <w:rFonts w:hint="eastAsia" w:ascii="微软雅黑" w:hAnsi="微软雅黑" w:eastAsia="微软雅黑"/>
          <w:b/>
          <w:color w:val="404040"/>
          <w:sz w:val="24"/>
        </w:rPr>
        <w:t>联系方式</w:t>
      </w:r>
    </w:p>
    <w:p>
      <w:pPr>
        <w:spacing w:line="28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 系 人：</w:t>
      </w:r>
      <w:r>
        <w:rPr>
          <w:rFonts w:hint="eastAsia" w:ascii="微软雅黑" w:hAnsi="微软雅黑" w:eastAsia="微软雅黑"/>
          <w:szCs w:val="21"/>
          <w:lang w:val="en-US" w:eastAsia="zh-CN"/>
        </w:rPr>
        <w:t>陈</w:t>
      </w:r>
      <w:r>
        <w:rPr>
          <w:rFonts w:hint="eastAsia" w:ascii="微软雅黑" w:hAnsi="微软雅黑" w:eastAsia="微软雅黑"/>
          <w:szCs w:val="21"/>
        </w:rPr>
        <w:t>老师</w:t>
      </w:r>
    </w:p>
    <w:p>
      <w:pPr>
        <w:spacing w:line="280" w:lineRule="exact"/>
        <w:ind w:left="-422" w:leftChars="-201"/>
        <w:outlineLvl w:val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>联系电话：</w:t>
      </w:r>
      <w:r>
        <w:rPr>
          <w:rFonts w:hint="eastAsia" w:ascii="微软雅黑" w:hAnsi="微软雅黑" w:eastAsia="微软雅黑"/>
          <w:szCs w:val="21"/>
          <w:lang w:val="en-US" w:eastAsia="zh-CN"/>
        </w:rPr>
        <w:t>13439064501</w:t>
      </w:r>
    </w:p>
    <w:p>
      <w:pPr>
        <w:spacing w:line="28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</w:p>
    <w:p>
      <w:pPr>
        <w:spacing w:line="28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</w:p>
    <w:p>
      <w:pPr>
        <w:spacing w:line="28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</w:p>
    <w:p>
      <w:pPr>
        <w:spacing w:line="280" w:lineRule="exact"/>
        <w:ind w:left="-422" w:leftChars="-201"/>
        <w:outlineLvl w:val="0"/>
        <w:rPr>
          <w:rFonts w:ascii="微软雅黑" w:hAnsi="微软雅黑" w:eastAsia="微软雅黑"/>
          <w:szCs w:val="21"/>
        </w:rPr>
      </w:pPr>
    </w:p>
    <w:p>
      <w:pPr>
        <w:spacing w:line="280" w:lineRule="exact"/>
        <w:ind w:left="-422" w:leftChars="-201"/>
        <w:outlineLvl w:val="0"/>
        <w:rPr>
          <w:rFonts w:hint="eastAsia" w:ascii="微软雅黑" w:hAnsi="微软雅黑" w:eastAsia="微软雅黑"/>
          <w:szCs w:val="21"/>
        </w:rPr>
      </w:pPr>
    </w:p>
    <w:p>
      <w:pPr>
        <w:spacing w:line="360" w:lineRule="auto"/>
        <w:ind w:left="-567" w:leftChars="-27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学籍登记表</w:t>
      </w:r>
    </w:p>
    <w:tbl>
      <w:tblPr>
        <w:tblStyle w:val="5"/>
        <w:tblpPr w:leftFromText="180" w:rightFromText="180" w:vertAnchor="text" w:horzAnchor="page" w:tblpX="1358" w:tblpY="11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05"/>
        <w:gridCol w:w="1834"/>
        <w:gridCol w:w="282"/>
        <w:gridCol w:w="846"/>
        <w:gridCol w:w="1692"/>
        <w:gridCol w:w="425"/>
        <w:gridCol w:w="704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所报班级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A198D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w:pict>
                <v:rect id="Rectangle 7" o:spid="_x0000_s1029" o:spt="1" style="position:absolute;left:0pt;margin-left:46.45pt;margin-top:3.9pt;height:8.25pt;width:9pt;z-index:251835392;mso-width-relative:page;mso-height-relative:page;" filled="f" coordsize="21600,21600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jQLatQAAAAHAQAADwAAAAAAAAABACAAAAAi&#10;AAAAZHJzL2Rvd25yZXYueG1sUEsBAhQAFAAAAAgAh07iQCF7k4HVAQAAuAMAAA4AAAAAAAAAAQAg&#10;AAAAIwEAAGRycy9lMm9Eb2MueG1sUEsFBgAAAAAGAAYAWQEAAGoFAAAAAA==&#10;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8" o:spid="_x0000_s1028" o:spt="1" style="position:absolute;left:0pt;margin-left:250.55pt;margin-top:3.25pt;height:8.25pt;width:9pt;z-index:251836416;mso-width-relative:page;mso-height-relative:page;" filled="f" coordsize="21600,21600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xWS1gAAAAgBAAAP&#10;AAAAAAAAAAEAIAAAACIAAABkcnMvZG93bnJldi54bWxQSwECFAAUAAAACACHTuJA1Ve+2eEBAAC2&#10;AwAADgAAAAAAAAABACAAAAAlAQAAZHJzL2Uyb0RvYy54bWxQSwUGAAAAAAYABgBZAQAAeAUAAAAA&#10;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119.5pt;margin-top:3.9pt;height:8.25pt;width:9pt;z-index:251837440;mso-width-relative:page;mso-height-relative:page;" filled="f" coordsize="21600,21600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gZBX9cAAAAIAQAA&#10;DwAAAAAAAAABACAAAAAiAAAAZHJzL2Rvd25yZXYueG1sUEsBAhQAFAAAAAgAh07iQHeRDHbhAQAA&#10;tgMAAA4AAAAAAAAAAQAgAAAAJgEAAGRycy9lMm9Eb2MueG1sUEsFBgAAAAAGAAYAWQEAAHkFAAAA&#10;AA==&#10;">
                  <v:path/>
                  <v:fill on="f"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177F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177F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177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  <w:lang w:val="en-US" w:eastAsia="zh-CN"/>
              </w:rPr>
              <w:t>陈</w:t>
            </w:r>
            <w:r>
              <w:rPr>
                <w:rFonts w:hint="eastAsia"/>
                <w:szCs w:val="21"/>
              </w:rPr>
              <w:t>老师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话：010-</w:t>
            </w:r>
            <w:r>
              <w:rPr>
                <w:rFonts w:hint="eastAsia"/>
                <w:szCs w:val="21"/>
                <w:lang w:val="en-US" w:eastAsia="zh-CN"/>
              </w:rPr>
              <w:t>62797895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13439064501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64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详细填写后回传至：</w:t>
            </w:r>
            <w:r>
              <w:rPr>
                <w:rFonts w:hint="eastAsia"/>
                <w:szCs w:val="21"/>
                <w:lang w:val="en-US" w:eastAsia="zh-CN"/>
              </w:rPr>
              <w:t>271916126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@qq.com                                                                                                   本人签字</w:t>
            </w:r>
            <w:r>
              <w:rPr>
                <w:szCs w:val="21"/>
                <w:u w:val="single"/>
              </w:rPr>
              <w:t xml:space="preserve">             </w:t>
            </w:r>
          </w:p>
        </w:tc>
      </w:tr>
    </w:tbl>
    <w:p>
      <w:pPr>
        <w:spacing w:line="620" w:lineRule="exact"/>
        <w:ind w:right="-485" w:rightChars="-231"/>
        <w:rPr>
          <w:szCs w:val="21"/>
          <w:u w:val="single"/>
        </w:rPr>
      </w:pPr>
      <w:r>
        <w:rPr>
          <w:szCs w:val="21"/>
        </w:rPr>
        <w:t xml:space="preserve">                                                    </w:t>
      </w:r>
    </w:p>
    <w:sectPr>
      <w:headerReference r:id="rId3" w:type="default"/>
      <w:type w:val="continuous"/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5717540" cy="826135"/>
          <wp:effectExtent l="0" t="0" r="16510" b="12065"/>
          <wp:docPr id="8" name="图片 8" descr="公司治理页眉图片紫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公司治理页眉图片紫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280896"/>
    <w:rsid w:val="00036D55"/>
    <w:rsid w:val="001B6B0C"/>
    <w:rsid w:val="001E01AC"/>
    <w:rsid w:val="00247EDE"/>
    <w:rsid w:val="00293A1B"/>
    <w:rsid w:val="002C7605"/>
    <w:rsid w:val="003F6105"/>
    <w:rsid w:val="00457FB8"/>
    <w:rsid w:val="00566845"/>
    <w:rsid w:val="005A3BA2"/>
    <w:rsid w:val="005A3D3D"/>
    <w:rsid w:val="005C06A6"/>
    <w:rsid w:val="00681C44"/>
    <w:rsid w:val="008542B1"/>
    <w:rsid w:val="00885B19"/>
    <w:rsid w:val="00915F2F"/>
    <w:rsid w:val="009E72B5"/>
    <w:rsid w:val="00A82B06"/>
    <w:rsid w:val="00C114CD"/>
    <w:rsid w:val="00D629A3"/>
    <w:rsid w:val="00F26A06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75B59AD"/>
    <w:rsid w:val="0765193B"/>
    <w:rsid w:val="08F36480"/>
    <w:rsid w:val="093A06A7"/>
    <w:rsid w:val="09B049E3"/>
    <w:rsid w:val="09E94439"/>
    <w:rsid w:val="09F633A3"/>
    <w:rsid w:val="0B5B63E5"/>
    <w:rsid w:val="0D573DCB"/>
    <w:rsid w:val="0DD2032F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C8733D"/>
    <w:rsid w:val="160B41A4"/>
    <w:rsid w:val="16D54010"/>
    <w:rsid w:val="171E3BE5"/>
    <w:rsid w:val="1802612F"/>
    <w:rsid w:val="193C04D4"/>
    <w:rsid w:val="19D135A9"/>
    <w:rsid w:val="1A5707D6"/>
    <w:rsid w:val="1AD152BC"/>
    <w:rsid w:val="1C280896"/>
    <w:rsid w:val="1CC37563"/>
    <w:rsid w:val="1CD87387"/>
    <w:rsid w:val="1DA50F3B"/>
    <w:rsid w:val="1EBB775F"/>
    <w:rsid w:val="20414298"/>
    <w:rsid w:val="216C3B78"/>
    <w:rsid w:val="217D12D0"/>
    <w:rsid w:val="22176E3F"/>
    <w:rsid w:val="222861E1"/>
    <w:rsid w:val="23F74668"/>
    <w:rsid w:val="24F63E90"/>
    <w:rsid w:val="25620F6F"/>
    <w:rsid w:val="27321FCF"/>
    <w:rsid w:val="27A43859"/>
    <w:rsid w:val="281900EC"/>
    <w:rsid w:val="28C5086E"/>
    <w:rsid w:val="2A940673"/>
    <w:rsid w:val="2A9A2C3C"/>
    <w:rsid w:val="2B405B52"/>
    <w:rsid w:val="2BB50D87"/>
    <w:rsid w:val="2BCB3DCF"/>
    <w:rsid w:val="2BEF79AA"/>
    <w:rsid w:val="2C3A0570"/>
    <w:rsid w:val="2CF94EEA"/>
    <w:rsid w:val="2D2808DC"/>
    <w:rsid w:val="2D8E5EFF"/>
    <w:rsid w:val="2E047393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51225B"/>
    <w:rsid w:val="394359F9"/>
    <w:rsid w:val="397C54E6"/>
    <w:rsid w:val="3A99598E"/>
    <w:rsid w:val="3CB42609"/>
    <w:rsid w:val="3D327430"/>
    <w:rsid w:val="3D984B1D"/>
    <w:rsid w:val="3F17607E"/>
    <w:rsid w:val="3F2D25B6"/>
    <w:rsid w:val="40187AB4"/>
    <w:rsid w:val="42F115D3"/>
    <w:rsid w:val="433F10C9"/>
    <w:rsid w:val="456804AB"/>
    <w:rsid w:val="45B727C6"/>
    <w:rsid w:val="46204764"/>
    <w:rsid w:val="466101E1"/>
    <w:rsid w:val="46B261D0"/>
    <w:rsid w:val="4841575E"/>
    <w:rsid w:val="48A076E0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C0448DC"/>
    <w:rsid w:val="4C671EB1"/>
    <w:rsid w:val="4CA90757"/>
    <w:rsid w:val="4D525FF1"/>
    <w:rsid w:val="4D934272"/>
    <w:rsid w:val="4E376776"/>
    <w:rsid w:val="4E59386C"/>
    <w:rsid w:val="4F5941EC"/>
    <w:rsid w:val="50B13D0C"/>
    <w:rsid w:val="50E369D9"/>
    <w:rsid w:val="5232612B"/>
    <w:rsid w:val="52413574"/>
    <w:rsid w:val="52416A02"/>
    <w:rsid w:val="54BA0AFB"/>
    <w:rsid w:val="553107F9"/>
    <w:rsid w:val="55775991"/>
    <w:rsid w:val="559462C4"/>
    <w:rsid w:val="57C809D8"/>
    <w:rsid w:val="57E73F93"/>
    <w:rsid w:val="5A82494A"/>
    <w:rsid w:val="5DB03D0A"/>
    <w:rsid w:val="5E9B23FC"/>
    <w:rsid w:val="6078765A"/>
    <w:rsid w:val="626E32BE"/>
    <w:rsid w:val="62E96AB5"/>
    <w:rsid w:val="639962A5"/>
    <w:rsid w:val="64761F5B"/>
    <w:rsid w:val="64806F9D"/>
    <w:rsid w:val="64E64710"/>
    <w:rsid w:val="665C2A13"/>
    <w:rsid w:val="6781091A"/>
    <w:rsid w:val="68065F18"/>
    <w:rsid w:val="697A37CF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E1D7054"/>
    <w:rsid w:val="6FC653B2"/>
    <w:rsid w:val="70256643"/>
    <w:rsid w:val="70532D6E"/>
    <w:rsid w:val="71484B9B"/>
    <w:rsid w:val="722F27A2"/>
    <w:rsid w:val="72D46DBB"/>
    <w:rsid w:val="73B43545"/>
    <w:rsid w:val="741851A5"/>
    <w:rsid w:val="74585CFB"/>
    <w:rsid w:val="761D01EB"/>
    <w:rsid w:val="76252C33"/>
    <w:rsid w:val="766A22F9"/>
    <w:rsid w:val="76C3522F"/>
    <w:rsid w:val="776815F2"/>
    <w:rsid w:val="7A4D3CB9"/>
    <w:rsid w:val="7A5A0D6A"/>
    <w:rsid w:val="7AF47F09"/>
    <w:rsid w:val="7BF52027"/>
    <w:rsid w:val="7C371A55"/>
    <w:rsid w:val="7CD52434"/>
    <w:rsid w:val="7D82397B"/>
    <w:rsid w:val="7FDA13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135brush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488</Words>
  <Characters>2788</Characters>
  <Lines>23</Lines>
  <Paragraphs>6</Paragraphs>
  <TotalTime>5</TotalTime>
  <ScaleCrop>false</ScaleCrop>
  <LinksUpToDate>false</LinksUpToDate>
  <CharactersWithSpaces>3270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2017-04-12T12:01:00Z</dcterms:created>
  <dc:creator>Administrator</dc:creator>
  <cp:lastModifiedBy>清华总裁班陈伟宏</cp:lastModifiedBy>
  <dcterms:modified xsi:type="dcterms:W3CDTF">2020-03-20T09:30:15Z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