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C00000"/>
          <w:sz w:val="36"/>
          <w:szCs w:val="36"/>
        </w:rPr>
      </w:pPr>
      <w:r>
        <w:rPr>
          <w:rFonts w:hint="eastAsia" w:ascii="黑体" w:hAnsi="黑体" w:eastAsia="黑体"/>
          <w:b/>
          <w:color w:val="C00000"/>
          <w:sz w:val="36"/>
          <w:szCs w:val="36"/>
        </w:rPr>
        <w:t>集团总裁高层研修班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——</w:t>
      </w:r>
      <w:r>
        <w:rPr>
          <w:rFonts w:hint="eastAsia" w:ascii="黑体" w:hAnsi="黑体" w:eastAsia="黑体"/>
          <w:b/>
          <w:sz w:val="28"/>
          <w:szCs w:val="28"/>
        </w:rPr>
        <w:t>集团化企业经营之道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项目背景</w:t>
      </w:r>
      <w:r>
        <w:rPr>
          <w:rFonts w:hint="eastAsia" w:ascii="黑体" w:hAnsi="黑体" w:eastAsia="黑体" w:cs="黑体"/>
          <w:b/>
          <w:sz w:val="28"/>
          <w:szCs w:val="28"/>
        </w:rPr>
        <w:t>】</w:t>
      </w:r>
    </w:p>
    <w:p>
      <w:pPr>
        <w:spacing w:line="360" w:lineRule="auto"/>
        <w:ind w:firstLine="480" w:firstLineChars="20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点将成帅，商道自开！</w:t>
      </w:r>
    </w:p>
    <w:p>
      <w:pPr>
        <w:spacing w:line="360" w:lineRule="auto"/>
        <w:ind w:firstLine="480" w:firstLineChars="20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众所周知，当前中国集团企业正处于高成长的快速发展时期，而伴随它的是全球化带来的企业转型、升级、并购、管理模式等变化。这使得众多企业家纷纷努力想把企业做大做强，然而大企业也有大企业的难处。“一抓就死，一放就乱”，集团总部对子公司又爱又恨，在不停地集权与放权中，眼睁睁看着机会流失……如何突破集团管控僵局？种种环境都逼迫着集团企业的引领者由“将”向“帅”的蜕变。</w:t>
      </w:r>
    </w:p>
    <w:p>
      <w:pPr>
        <w:spacing w:line="360" w:lineRule="auto"/>
        <w:ind w:firstLine="480" w:firstLineChars="200"/>
        <w:rPr>
          <w:rFonts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集团总裁高层研修班（原清华大学集团管控总裁班），根据多年的办学经验及企业实际调研后，依托自身雄厚的师资力量，以现代信息技术手段为支撑，开设了针对集团企业发展的管控课程。该课程设计全面系统，将帮助集团企业全面把脉中国经济宏观调控命脉，充分从战略角度来审视各部门管控的节点与要点。最终，助推每一个有志的商业将星，成功蜕变成运筹帷幄的商界统帅！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【学习收益】</w:t>
      </w:r>
      <w:r>
        <w:rPr>
          <w:rFonts w:ascii="黑体" w:hAnsi="黑体" w:eastAsia="黑体" w:cs="黑体"/>
          <w:b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提高集团型企业高层管理者统帅能力、决策力、实战管理思维；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以行业前沿论点指导企业战略方向，寻找可持续发展空间；</w:t>
      </w:r>
    </w:p>
    <w:p>
      <w:pPr>
        <w:numPr>
          <w:ilvl w:val="0"/>
          <w:numId w:val="1"/>
        </w:numPr>
        <w:spacing w:line="360" w:lineRule="auto"/>
        <w:ind w:left="0" w:firstLine="42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梳理企业管理漏洞，重组企业组织架构，提高企业盈利能力。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【招生对象】</w:t>
      </w:r>
      <w:r>
        <w:rPr>
          <w:rFonts w:ascii="黑体" w:hAnsi="黑体" w:eastAsia="黑体" w:cs="黑体"/>
          <w:b/>
          <w:sz w:val="28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集团型企业决策者、职业经理人、高层管理者、企业接班人等。</w:t>
      </w:r>
    </w:p>
    <w:p>
      <w:pPr>
        <w:pStyle w:val="2"/>
        <w:ind w:firstLine="540" w:firstLineChars="300"/>
        <w:rPr>
          <w:rFonts w:hint="eastAsia" w:ascii="黑体" w:hAnsi="黑体" w:eastAsia="黑体" w:cs="新宋体"/>
          <w:sz w:val="24"/>
          <w:szCs w:val="24"/>
        </w:rPr>
      </w:pPr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【课程设置】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6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  <w:jc w:val="center"/>
        </w:trPr>
        <w:tc>
          <w:tcPr>
            <w:tcW w:w="9641" w:type="dxa"/>
            <w:gridSpan w:val="2"/>
            <w:tcBorders>
              <w:bottom w:val="single" w:color="auto" w:sz="6" w:space="0"/>
            </w:tcBorders>
            <w:shd w:val="clear" w:color="auto" w:fill="C000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/>
                <w:sz w:val="28"/>
                <w:szCs w:val="28"/>
              </w:rPr>
              <w:t>集团管控职能篇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人工智能与企业创新发展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集团战略规划与战略管控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人工智能技术应用及产业化前景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人工智能如何影响企业的经营管理（产供销人财物）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人工智能时代的社会运转及利益再分割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集团战略梳理与外部环境分析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集团内部资源与能力的科学评估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集团管控机制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集团管控体系构建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企业信息化管控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集团企业人力资源管控体系建设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</w:t>
            </w:r>
            <w:r>
              <w:rPr>
                <w:rFonts w:ascii="Times New Roman" w:hAnsi="Times New Roman" w:eastAsia="黑体"/>
                <w:color w:val="000000"/>
                <w:kern w:val="0"/>
              </w:rPr>
              <w:t>IT</w:t>
            </w:r>
            <w:r>
              <w:rPr>
                <w:rFonts w:ascii="Times New Roman" w:hAnsi="黑体" w:eastAsia="黑体"/>
                <w:color w:val="000000"/>
                <w:kern w:val="0"/>
              </w:rPr>
              <w:t>战略管理与战略规划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集团信息交换与信息监控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决策支持与决策分析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数据个性化展现与报表精简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人力资源管控体系中的关键环节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集团责权体系设计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集团高管激励与约束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防止利益集团出现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9641" w:type="dxa"/>
            <w:gridSpan w:val="2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集团财务战略与财务管控体系建设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企业估值与财务战略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投资与商业模式战略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集团内部资本结构与管控体系设计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集团母子公司财务管控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5" w:hRule="atLeast"/>
          <w:jc w:val="center"/>
        </w:trPr>
        <w:tc>
          <w:tcPr>
            <w:tcW w:w="9641" w:type="dxa"/>
            <w:gridSpan w:val="2"/>
            <w:shd w:val="clear" w:color="auto" w:fill="C000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/>
                <w:sz w:val="28"/>
                <w:szCs w:val="28"/>
              </w:rPr>
              <w:t>集团管控实务篇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集团企业博弈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母子公司管控策略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博弈论与企业运营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领导决策程序及方法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博弈论经典案例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博弈论策略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公司发展趋势与母子公司治理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母子公司管控问题与难点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母子公司管控模式与体系</w:t>
            </w:r>
            <w:r>
              <w:rPr>
                <w:rFonts w:ascii="Times New Roman" w:hAnsi="Times New Roman" w:eastAsia="黑体"/>
                <w:color w:val="000000"/>
                <w:kern w:val="0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母子公司管控建设与运行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集团商业模式创新与核心竞争力提升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集团企业公司治理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公司创新思维与商业模式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商业模式要素解构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创新商业模式的视角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持续性商业模式创新的管理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集团组织的发展趋势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部门职能设计及约束和激励机制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公司治理模式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公司治理的系统策略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企业风险管理与内部控制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  <w:t>BPR</w:t>
            </w: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与流程管控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内部控制政策解读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集团企业内部控制体系建设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集团风险管理与价值解析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集团全面风险体系建立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集团公司主要运营流程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流程中的管控节点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基于管控的流程优化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基于管控的流程再造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企业税务筹划方略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集团企业法律风险防范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5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税眼看事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热点税务事件深度解读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节税工具及管道的选择与运用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涉税业务的巧妙安排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集团组织形式及责任能力分析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股权比例的黄金分割点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公司法之制度安排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商事法篇</w:t>
            </w:r>
            <w:r>
              <w:rPr>
                <w:rFonts w:ascii="Times New Roman" w:hAnsi="Times New Roman" w:eastAsia="黑体"/>
                <w:color w:val="000000"/>
                <w:kern w:val="0"/>
              </w:rPr>
              <w:t>-</w:t>
            </w:r>
            <w:r>
              <w:rPr>
                <w:rFonts w:ascii="Times New Roman" w:hAnsi="黑体" w:eastAsia="黑体"/>
                <w:color w:val="000000"/>
                <w:kern w:val="0"/>
              </w:rPr>
              <w:t>消除设计合同及争议解决的风险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资本运作与企业上市策略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集团公司战略并购重组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中外资本市场的前生今世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中国</w:t>
            </w:r>
            <w:r>
              <w:rPr>
                <w:rFonts w:ascii="Times New Roman" w:hAnsi="Times New Roman" w:eastAsia="黑体"/>
                <w:color w:val="000000"/>
                <w:kern w:val="0"/>
              </w:rPr>
              <w:t>IPO</w:t>
            </w:r>
            <w:r>
              <w:rPr>
                <w:rFonts w:ascii="Times New Roman" w:hAnsi="黑体" w:eastAsia="黑体"/>
                <w:color w:val="000000"/>
                <w:kern w:val="0"/>
              </w:rPr>
              <w:t>市场形势分析与预测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上市问题深度解析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上市地点、时间及方式优化选择策略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投资目标之并购与重组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企业并购</w:t>
            </w:r>
            <w:r>
              <w:rPr>
                <w:rFonts w:ascii="Times New Roman" w:hAnsi="Times New Roman" w:eastAsia="黑体"/>
                <w:color w:val="000000"/>
                <w:kern w:val="0"/>
              </w:rPr>
              <w:t>-</w:t>
            </w:r>
            <w:r>
              <w:rPr>
                <w:rFonts w:ascii="Times New Roman" w:hAnsi="黑体" w:eastAsia="黑体"/>
                <w:color w:val="000000"/>
                <w:kern w:val="0"/>
              </w:rPr>
              <w:t>并购价值挖掘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并购重组的反收购策略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并购重组中的风险防范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集团企业投融资策略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集团企业品牌管控策略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热点行业分析与投融资决策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投资银行与资产证券化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法律风险防范体制建设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常见企业法律事务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集团品牌的一体化与一致性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品牌战略的策划与实施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多层次品牌传播与整合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品牌价值管理与资本化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互联网思维与企业运营模式转型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企业媒体关系与公共危机应对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互联网思维的本质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互联网模式下优势资源重配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重构全球经济竞争格局（经济结构及分布、产业链分工、产业转移）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企业转型互联网模式的途径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企业运营转型的驱动因素及挑战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媒体是把双刃剑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积极的媒体关系管理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成功危机事件处理案例解析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危机公关实务问答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  <w:jc w:val="center"/>
        </w:trPr>
        <w:tc>
          <w:tcPr>
            <w:tcW w:w="9641" w:type="dxa"/>
            <w:gridSpan w:val="2"/>
            <w:shd w:val="clear" w:color="auto" w:fill="C000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/>
                <w:sz w:val="28"/>
                <w:szCs w:val="28"/>
              </w:rPr>
              <w:t>趋势展望篇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科技发展新趋势对产业格局的影响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经济大势与热点分析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新技术改变着民众与国家的处事规则，颠覆性的技术层出不穷，为经济社会发展提供了前所未有的驱动力。基于此，我们会选取当下最新的热点技术及其市场应用进行解读和阐释，旨在开阔学员的视野，从不同的角度去发现科技趋势、预见未来，帮助企业更准确地把握市场需求，进而为企业发展战略提供惊喜与机会。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世界经济从低迷中复苏的分析判断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中国经济周期分析判断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中国经济战略机遇期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企业转型时机把握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9641" w:type="dxa"/>
            <w:gridSpan w:val="2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国家战略格局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世界政治局势与国际关系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美国全球战略与中国危机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国家政治、军事及安全解析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国防建设发展趋势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  <w:jc w:val="center"/>
        </w:trPr>
        <w:tc>
          <w:tcPr>
            <w:tcW w:w="9641" w:type="dxa"/>
            <w:gridSpan w:val="2"/>
            <w:shd w:val="clear" w:color="auto" w:fill="C000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/>
                <w:sz w:val="28"/>
                <w:szCs w:val="28"/>
              </w:rPr>
              <w:t>领导提升篇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毛泽东领导艺术与企业管理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企业国际化思维与战略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毛泽东战略、气度与智慧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组织方略与领军之道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商场游击战法则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企业战略思维模型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全球资源整合新思维与国际价值链</w:t>
            </w:r>
            <w:r>
              <w:rPr>
                <w:rFonts w:ascii="Times New Roman" w:hAnsi="Times New Roman" w:eastAsia="黑体"/>
                <w:color w:val="000000"/>
                <w:kern w:val="0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海外新商机与国际化思维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跨文化管理与本土化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国际战略联盟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国学精粹与领导韬略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</w:rPr>
              <w:t>总裁领导力提升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先祖谋略思想解读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谋略智慧与企业竞争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现代商战的创新思维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谋略智慧的商战六法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领导力本质解析与领导能力构成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领导愿景与能力整合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领导的表达艺术、组织艺术、激励艺术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黑体" w:eastAsia="黑体"/>
                <w:color w:val="000000"/>
                <w:kern w:val="0"/>
              </w:rPr>
              <w:t>辅导下属与执行能力</w:t>
            </w:r>
          </w:p>
        </w:tc>
      </w:tr>
    </w:tbl>
    <w:p>
      <w:pPr>
        <w:spacing w:line="360" w:lineRule="auto"/>
        <w:outlineLvl w:val="0"/>
        <w:rPr>
          <w:rFonts w:hint="eastAsia" w:ascii="黑体" w:hAnsi="黑体" w:eastAsia="黑体" w:cs="新宋体"/>
          <w:color w:val="000000"/>
          <w:kern w:val="0"/>
          <w:szCs w:val="21"/>
        </w:rPr>
      </w:pPr>
      <w:r>
        <w:rPr>
          <w:rFonts w:hint="eastAsia" w:ascii="黑体" w:hAnsi="黑体" w:eastAsia="黑体" w:cs="新宋体"/>
          <w:color w:val="000000"/>
          <w:kern w:val="0"/>
          <w:szCs w:val="21"/>
        </w:rPr>
        <w:t>注：每学年课题根据行业热点会有20％进行微调，调整后师资水平与前期持平。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【增值活动】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新宋体"/>
          <w:color w:val="000000"/>
          <w:kern w:val="0"/>
          <w:sz w:val="24"/>
          <w:szCs w:val="24"/>
        </w:rPr>
        <w:t>课余时间，将结合授课安排、班级情况等酌情选择，组织丰富多彩的学员活动。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5"/>
        <w:gridCol w:w="46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9" w:hRule="atLeast"/>
        </w:trPr>
        <w:tc>
          <w:tcPr>
            <w:tcW w:w="9356" w:type="dxa"/>
            <w:gridSpan w:val="2"/>
            <w:shd w:val="clear" w:color="auto" w:fill="C000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姚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b/>
                <w:bCs/>
                <w:color w:val="FFFFFF"/>
                <w:sz w:val="28"/>
                <w:szCs w:val="28"/>
              </w:rPr>
              <w:t>班级活动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</w:trPr>
        <w:tc>
          <w:tcPr>
            <w:tcW w:w="4685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集团发展对话大型论坛</w:t>
            </w:r>
          </w:p>
        </w:tc>
        <w:tc>
          <w:tcPr>
            <w:tcW w:w="4671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公司治理热点沙龙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</w:trPr>
        <w:tc>
          <w:tcPr>
            <w:tcW w:w="4685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书画名家艺术交流会</w:t>
            </w:r>
          </w:p>
        </w:tc>
        <w:tc>
          <w:tcPr>
            <w:tcW w:w="4671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养生与治家茶话会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</w:trPr>
        <w:tc>
          <w:tcPr>
            <w:tcW w:w="4685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红酒、茶品鉴讲座</w:t>
            </w:r>
          </w:p>
        </w:tc>
        <w:tc>
          <w:tcPr>
            <w:tcW w:w="4671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高尔夫时尚盛宴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</w:trPr>
        <w:tc>
          <w:tcPr>
            <w:tcW w:w="4685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大型公益慈善活动</w:t>
            </w:r>
          </w:p>
        </w:tc>
        <w:tc>
          <w:tcPr>
            <w:tcW w:w="4671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精彩文艺表演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6" w:hRule="atLeast"/>
        </w:trPr>
        <w:tc>
          <w:tcPr>
            <w:tcW w:w="4685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各界精英聚会、论点分享</w:t>
            </w:r>
          </w:p>
        </w:tc>
        <w:tc>
          <w:tcPr>
            <w:tcW w:w="4671" w:type="dxa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集团总裁年会与结业典礼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【学制设置】</w:t>
      </w: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新宋体"/>
          <w:color w:val="000000"/>
          <w:kern w:val="0"/>
          <w:sz w:val="24"/>
          <w:szCs w:val="24"/>
        </w:rPr>
        <w:t>学制1年半，集中授课8次。</w:t>
      </w:r>
    </w:p>
    <w:p>
      <w:pPr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【学费标准及交费方式】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学费标准：86000元/人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交费方式：采用银行汇款方式，将培训费汇至指定账户，并开具发票。</w:t>
      </w:r>
    </w:p>
    <w:p>
      <w:pPr>
        <w:spacing w:line="360" w:lineRule="auto"/>
        <w:ind w:firstLine="480" w:firstLineChars="200"/>
        <w:rPr>
          <w:rFonts w:hint="eastAsia" w:ascii="黑体" w:hAnsi="黑体" w:eastAsia="Microsoft YaHei UI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注：请在汇款单“汇款用途”栏注明“集团总裁高层研修班***（学员姓名）培训费”。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E5974"/>
          <w:spacing w:val="0"/>
          <w:sz w:val="18"/>
          <w:szCs w:val="18"/>
          <w:shd w:val="clear" w:color="auto" w:fill="FFFFFF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【学员风采】</w:t>
      </w:r>
    </w:p>
    <w:p>
      <w:pPr>
        <w:spacing w:line="420" w:lineRule="auto"/>
        <w:rPr>
          <w:rFonts w:hint="eastAsia" w:ascii="黑体" w:hAnsi="黑体" w:eastAsia="黑体" w:cs="黑体"/>
          <w:color w:val="00000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4"/>
          <w:szCs w:val="24"/>
        </w:rPr>
        <w:drawing>
          <wp:inline distT="0" distB="0" distL="114300" distR="114300">
            <wp:extent cx="4999990" cy="2322830"/>
            <wp:effectExtent l="0" t="0" r="3810" b="1270"/>
            <wp:docPr id="1" name="图片 3" descr="管控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管控班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420" w:lineRule="auto"/>
        <w:rPr>
          <w:rFonts w:hint="eastAsia" w:ascii="黑体" w:hAnsi="黑体" w:eastAsia="黑体" w:cs="黑体"/>
          <w:color w:val="000000"/>
          <w:sz w:val="24"/>
          <w:szCs w:val="24"/>
        </w:rPr>
      </w:pPr>
    </w:p>
    <w:p>
      <w:pPr>
        <w:spacing w:line="420" w:lineRule="auto"/>
        <w:rPr>
          <w:rFonts w:hint="eastAsia" w:ascii="黑体" w:hAnsi="黑体" w:eastAsia="黑体" w:cs="黑体"/>
          <w:color w:val="000000"/>
          <w:sz w:val="24"/>
          <w:szCs w:val="24"/>
        </w:rPr>
      </w:pPr>
    </w:p>
    <w:p>
      <w:pPr>
        <w:pStyle w:val="2"/>
      </w:pPr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p>
      <w:pPr>
        <w:spacing w:line="420" w:lineRule="auto"/>
        <w:rPr>
          <w:rFonts w:hint="eastAsia" w:ascii="黑体" w:hAnsi="黑体" w:eastAsia="黑体" w:cs="黑体"/>
          <w:color w:val="00000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907" w:right="1304" w:bottom="907" w:left="1304" w:header="851" w:footer="850" w:gutter="0"/>
          <w:cols w:space="720" w:num="1"/>
          <w:docGrid w:type="lines" w:linePitch="312" w:charSpace="0"/>
        </w:sectPr>
      </w:pPr>
    </w:p>
    <w:p>
      <w:pPr>
        <w:spacing w:line="420" w:lineRule="auto"/>
        <w:rPr>
          <w:rFonts w:hint="eastAsia" w:ascii="黑体" w:hAnsi="黑体" w:eastAsia="黑体" w:cs="黑体"/>
          <w:b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z w:val="24"/>
          <w:szCs w:val="24"/>
        </w:rPr>
        <w:t>附件1：</w:t>
      </w:r>
    </w:p>
    <w:p>
      <w:pPr>
        <w:spacing w:line="420" w:lineRule="auto"/>
        <w:ind w:firstLine="1600" w:firstLineChars="500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集团总裁高层研修班</w:t>
      </w:r>
      <w:r>
        <w:rPr>
          <w:rFonts w:hint="eastAsia" w:ascii="黑体" w:hAnsi="黑体" w:eastAsia="黑体" w:cs="黑体"/>
          <w:sz w:val="32"/>
          <w:szCs w:val="32"/>
        </w:rPr>
        <w:t>报名申请表</w:t>
      </w:r>
      <w:r>
        <w:rPr>
          <w:rFonts w:hint="eastAsia" w:ascii="黑体" w:hAnsi="黑体" w:eastAsia="黑体" w:cs="宋体"/>
          <w:b/>
          <w:bCs/>
          <w:color w:val="000000"/>
        </w:rPr>
        <w:t>（此表</w:t>
      </w:r>
      <w:r>
        <w:rPr>
          <w:rFonts w:hint="eastAsia" w:ascii="黑体" w:hAnsi="黑体" w:eastAsia="黑体" w:cs="宋体"/>
          <w:b/>
          <w:bCs/>
        </w:rPr>
        <w:t>复印有效）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学员</w:t>
            </w:r>
          </w:p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sz w:val="18"/>
                <w:szCs w:val="18"/>
              </w:rPr>
              <w:t>基本</w:t>
            </w:r>
          </w:p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hAnsi="黑体" w:eastAsia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固话/手机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指定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固话/手机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企业</w:t>
            </w:r>
          </w:p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单位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成立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注册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员工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经营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企业</w:t>
            </w:r>
          </w:p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noWrap w:val="0"/>
            <w:vAlign w:val="center"/>
          </w:tcPr>
          <w:p>
            <w:pPr>
              <w:spacing w:line="420" w:lineRule="auto"/>
              <w:jc w:val="right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  <w:p>
            <w:pPr>
              <w:spacing w:line="420" w:lineRule="auto"/>
              <w:ind w:right="420" w:firstLine="3780" w:firstLineChars="2100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  <w:p>
            <w:pPr>
              <w:spacing w:line="420" w:lineRule="auto"/>
              <w:ind w:right="420" w:firstLine="3780" w:firstLineChars="2100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  <w:p>
            <w:pPr>
              <w:spacing w:line="420" w:lineRule="auto"/>
              <w:ind w:right="420" w:firstLine="3870" w:firstLineChars="2150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申请人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签名（</w:t>
            </w: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单位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盖章）</w:t>
            </w: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汇款</w:t>
            </w:r>
          </w:p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noWrap w:val="0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>
            <w:pPr>
              <w:spacing w:line="420" w:lineRule="auto"/>
              <w:rPr>
                <w:rFonts w:hint="eastAsia"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注：请在汇款单“汇款用途”栏注明“集团总裁高层研修班***（学员姓名）培训费”。</w:t>
            </w:r>
          </w:p>
        </w:tc>
      </w:tr>
    </w:tbl>
    <w:p>
      <w:pPr>
        <w:spacing w:line="420" w:lineRule="auto"/>
        <w:rPr>
          <w:rFonts w:hint="eastAsia" w:ascii="黑体" w:hAnsi="黑体" w:eastAsia="黑体" w:cs="宋体"/>
          <w:b/>
          <w:bCs/>
        </w:rPr>
      </w:pPr>
    </w:p>
    <w:p>
      <w:pPr>
        <w:spacing w:line="420" w:lineRule="auto"/>
        <w:rPr>
          <w:rFonts w:hint="eastAsia" w:ascii="黑体" w:hAnsi="黑体" w:eastAsia="黑体" w:cs="宋体"/>
          <w:b/>
          <w:bCs/>
        </w:rPr>
        <w:sectPr>
          <w:pgSz w:w="11906" w:h="16838"/>
          <w:pgMar w:top="907" w:right="1304" w:bottom="907" w:left="1304" w:header="851" w:footer="992" w:gutter="0"/>
          <w:cols w:space="720" w:num="1"/>
          <w:docGrid w:type="lines" w:linePitch="312" w:charSpace="0"/>
        </w:sectPr>
      </w:pPr>
    </w:p>
    <w:p>
      <w:pPr>
        <w:spacing w:line="420" w:lineRule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附件2：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5"/>
        <w:gridCol w:w="3261"/>
        <w:gridCol w:w="1665"/>
        <w:gridCol w:w="3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08" w:hRule="atLeast"/>
          <w:jc w:val="center"/>
        </w:trPr>
        <w:tc>
          <w:tcPr>
            <w:tcW w:w="9600" w:type="dxa"/>
            <w:gridSpan w:val="4"/>
            <w:noWrap w:val="0"/>
            <w:vAlign w:val="center"/>
          </w:tcPr>
          <w:p>
            <w:pPr>
              <w:tabs>
                <w:tab w:val="left" w:pos="422"/>
              </w:tabs>
              <w:snapToGrid w:val="0"/>
              <w:spacing w:before="40"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企 业 简 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20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公司名称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（中文名称）</w:t>
            </w:r>
          </w:p>
        </w:tc>
        <w:tc>
          <w:tcPr>
            <w:tcW w:w="8315" w:type="dxa"/>
            <w:gridSpan w:val="3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20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单位网址</w:t>
            </w:r>
          </w:p>
        </w:tc>
        <w:tc>
          <w:tcPr>
            <w:tcW w:w="8315" w:type="dxa"/>
            <w:gridSpan w:val="3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20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8" w:firstLineChars="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公司总资产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8" w:firstLineChars="9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8" w:firstLineChars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公司上年销售额</w:t>
            </w:r>
          </w:p>
        </w:tc>
        <w:tc>
          <w:tcPr>
            <w:tcW w:w="3389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8" w:firstLineChars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黑体" w:hAnsi="黑体" w:eastAsia="黑体"/>
                <w:szCs w:val="21"/>
              </w:rPr>
              <w:t>（亿元）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20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napToGrid w:val="0"/>
              <w:spacing w:before="40" w:line="400" w:lineRule="exact"/>
              <w:ind w:left="-17" w:leftChars="-8" w:firstLine="18" w:firstLineChars="9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成立时间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before="40" w:line="400" w:lineRule="exact"/>
              <w:ind w:left="-17" w:leftChars="-8" w:firstLine="121" w:firstLineChars="58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>（年）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8" w:firstLineChars="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下属分公司</w:t>
            </w:r>
          </w:p>
        </w:tc>
        <w:tc>
          <w:tcPr>
            <w:tcW w:w="3389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19" w:firstLineChars="57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>（家）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31" w:hRule="atLeast"/>
          <w:jc w:val="center"/>
        </w:trPr>
        <w:tc>
          <w:tcPr>
            <w:tcW w:w="9600" w:type="dxa"/>
            <w:gridSpan w:val="4"/>
            <w:noWrap w:val="0"/>
            <w:vAlign w:val="center"/>
          </w:tcPr>
          <w:p>
            <w:pPr>
              <w:tabs>
                <w:tab w:val="left" w:pos="602"/>
              </w:tabs>
              <w:snapToGrid w:val="0"/>
              <w:spacing w:line="240" w:lineRule="atLeast"/>
              <w:ind w:right="118" w:rightChars="56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总公司概述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573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94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下属分公司概述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882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090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831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注：集团型企业必填表，所有内容要如实填写，不得空格。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sectPr>
      <w:pgSz w:w="11906" w:h="16838"/>
      <w:pgMar w:top="90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高端管理系列课程</w:t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A18"/>
    <w:multiLevelType w:val="multilevel"/>
    <w:tmpl w:val="133D3A1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0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  <w:color w:val="auto"/>
      </w:rPr>
    </w:lvl>
    <w:lvl w:ilvl="2" w:tentative="0">
      <w:start w:val="0"/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C7D4125"/>
    <w:multiLevelType w:val="multilevel"/>
    <w:tmpl w:val="3C7D4125"/>
    <w:lvl w:ilvl="0" w:tentative="0">
      <w:start w:val="1"/>
      <w:numFmt w:val="decimal"/>
      <w:lvlText w:val="%1."/>
      <w:lvlJc w:val="left"/>
      <w:pPr>
        <w:ind w:left="1078" w:hanging="420"/>
      </w:pPr>
    </w:lvl>
    <w:lvl w:ilvl="1" w:tentative="0">
      <w:start w:val="1"/>
      <w:numFmt w:val="lowerLetter"/>
      <w:lvlText w:val="%2)"/>
      <w:lvlJc w:val="left"/>
      <w:pPr>
        <w:ind w:left="1498" w:hanging="420"/>
      </w:pPr>
    </w:lvl>
    <w:lvl w:ilvl="2" w:tentative="0">
      <w:start w:val="1"/>
      <w:numFmt w:val="lowerRoman"/>
      <w:lvlText w:val="%3."/>
      <w:lvlJc w:val="right"/>
      <w:pPr>
        <w:ind w:left="1918" w:hanging="420"/>
      </w:pPr>
    </w:lvl>
    <w:lvl w:ilvl="3" w:tentative="0">
      <w:start w:val="1"/>
      <w:numFmt w:val="decimal"/>
      <w:lvlText w:val="%4."/>
      <w:lvlJc w:val="left"/>
      <w:pPr>
        <w:ind w:left="2338" w:hanging="420"/>
      </w:pPr>
    </w:lvl>
    <w:lvl w:ilvl="4" w:tentative="0">
      <w:start w:val="1"/>
      <w:numFmt w:val="lowerLetter"/>
      <w:lvlText w:val="%5)"/>
      <w:lvlJc w:val="left"/>
      <w:pPr>
        <w:ind w:left="2758" w:hanging="420"/>
      </w:pPr>
    </w:lvl>
    <w:lvl w:ilvl="5" w:tentative="0">
      <w:start w:val="1"/>
      <w:numFmt w:val="lowerRoman"/>
      <w:lvlText w:val="%6."/>
      <w:lvlJc w:val="right"/>
      <w:pPr>
        <w:ind w:left="3178" w:hanging="420"/>
      </w:pPr>
    </w:lvl>
    <w:lvl w:ilvl="6" w:tentative="0">
      <w:start w:val="1"/>
      <w:numFmt w:val="decimal"/>
      <w:lvlText w:val="%7."/>
      <w:lvlJc w:val="left"/>
      <w:pPr>
        <w:ind w:left="3598" w:hanging="420"/>
      </w:pPr>
    </w:lvl>
    <w:lvl w:ilvl="7" w:tentative="0">
      <w:start w:val="1"/>
      <w:numFmt w:val="lowerLetter"/>
      <w:lvlText w:val="%8)"/>
      <w:lvlJc w:val="left"/>
      <w:pPr>
        <w:ind w:left="4018" w:hanging="420"/>
      </w:pPr>
    </w:lvl>
    <w:lvl w:ilvl="8" w:tentative="0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7"/>
    <w:rsid w:val="0000468F"/>
    <w:rsid w:val="00021338"/>
    <w:rsid w:val="0008312B"/>
    <w:rsid w:val="00084B5E"/>
    <w:rsid w:val="00087BB8"/>
    <w:rsid w:val="000A389D"/>
    <w:rsid w:val="000B0C7E"/>
    <w:rsid w:val="000E2E92"/>
    <w:rsid w:val="000E5B8C"/>
    <w:rsid w:val="000F3748"/>
    <w:rsid w:val="000F5B62"/>
    <w:rsid w:val="000F7B20"/>
    <w:rsid w:val="001015C2"/>
    <w:rsid w:val="00105F56"/>
    <w:rsid w:val="00122113"/>
    <w:rsid w:val="0012355A"/>
    <w:rsid w:val="0014243A"/>
    <w:rsid w:val="00154B54"/>
    <w:rsid w:val="0015647E"/>
    <w:rsid w:val="00163C4D"/>
    <w:rsid w:val="00177706"/>
    <w:rsid w:val="001B6A5C"/>
    <w:rsid w:val="001B746E"/>
    <w:rsid w:val="001D70F0"/>
    <w:rsid w:val="001F648D"/>
    <w:rsid w:val="002126DB"/>
    <w:rsid w:val="002174BE"/>
    <w:rsid w:val="002220D8"/>
    <w:rsid w:val="00222EC6"/>
    <w:rsid w:val="00235229"/>
    <w:rsid w:val="002628DA"/>
    <w:rsid w:val="00275D70"/>
    <w:rsid w:val="00284BA4"/>
    <w:rsid w:val="00287C10"/>
    <w:rsid w:val="0029064E"/>
    <w:rsid w:val="002914D9"/>
    <w:rsid w:val="00296A1F"/>
    <w:rsid w:val="002A3510"/>
    <w:rsid w:val="002B070A"/>
    <w:rsid w:val="002B3044"/>
    <w:rsid w:val="002C7CFE"/>
    <w:rsid w:val="002C7FCB"/>
    <w:rsid w:val="002E0DD9"/>
    <w:rsid w:val="002E6677"/>
    <w:rsid w:val="002F1DFA"/>
    <w:rsid w:val="00301535"/>
    <w:rsid w:val="0031628E"/>
    <w:rsid w:val="00330695"/>
    <w:rsid w:val="0033394D"/>
    <w:rsid w:val="00350AC6"/>
    <w:rsid w:val="0035282C"/>
    <w:rsid w:val="00353135"/>
    <w:rsid w:val="00367044"/>
    <w:rsid w:val="00392E67"/>
    <w:rsid w:val="00394628"/>
    <w:rsid w:val="003A3249"/>
    <w:rsid w:val="003B1F0C"/>
    <w:rsid w:val="003C3878"/>
    <w:rsid w:val="003C74FA"/>
    <w:rsid w:val="003D67F3"/>
    <w:rsid w:val="003F53EB"/>
    <w:rsid w:val="00402180"/>
    <w:rsid w:val="00420C6B"/>
    <w:rsid w:val="004366A2"/>
    <w:rsid w:val="00444D2C"/>
    <w:rsid w:val="004563E2"/>
    <w:rsid w:val="00480FB7"/>
    <w:rsid w:val="00496544"/>
    <w:rsid w:val="004B1940"/>
    <w:rsid w:val="004E3722"/>
    <w:rsid w:val="004E4809"/>
    <w:rsid w:val="004F626E"/>
    <w:rsid w:val="00505FC0"/>
    <w:rsid w:val="0051019A"/>
    <w:rsid w:val="00522D3F"/>
    <w:rsid w:val="0052793A"/>
    <w:rsid w:val="00536BE3"/>
    <w:rsid w:val="00561ECF"/>
    <w:rsid w:val="0056760E"/>
    <w:rsid w:val="005730BB"/>
    <w:rsid w:val="005737DE"/>
    <w:rsid w:val="005818DF"/>
    <w:rsid w:val="005B42D7"/>
    <w:rsid w:val="005D1BED"/>
    <w:rsid w:val="005D7ED6"/>
    <w:rsid w:val="00601BDB"/>
    <w:rsid w:val="0060623B"/>
    <w:rsid w:val="00606847"/>
    <w:rsid w:val="00617F6B"/>
    <w:rsid w:val="00623C1E"/>
    <w:rsid w:val="006265BA"/>
    <w:rsid w:val="00641E0A"/>
    <w:rsid w:val="006433D4"/>
    <w:rsid w:val="00654649"/>
    <w:rsid w:val="00660B1A"/>
    <w:rsid w:val="0066657C"/>
    <w:rsid w:val="006739B7"/>
    <w:rsid w:val="006A4811"/>
    <w:rsid w:val="006B0EDA"/>
    <w:rsid w:val="006B394D"/>
    <w:rsid w:val="006C0FF9"/>
    <w:rsid w:val="006C771F"/>
    <w:rsid w:val="006D4D9C"/>
    <w:rsid w:val="006F3EDD"/>
    <w:rsid w:val="006F73ED"/>
    <w:rsid w:val="007059CE"/>
    <w:rsid w:val="007166BE"/>
    <w:rsid w:val="00722DA4"/>
    <w:rsid w:val="00723C13"/>
    <w:rsid w:val="00725142"/>
    <w:rsid w:val="00741C9E"/>
    <w:rsid w:val="007538F8"/>
    <w:rsid w:val="00754B1C"/>
    <w:rsid w:val="00756BDB"/>
    <w:rsid w:val="00757E8B"/>
    <w:rsid w:val="00762EA9"/>
    <w:rsid w:val="007808BD"/>
    <w:rsid w:val="00796F22"/>
    <w:rsid w:val="007970F6"/>
    <w:rsid w:val="0081474A"/>
    <w:rsid w:val="008269E8"/>
    <w:rsid w:val="00870ACD"/>
    <w:rsid w:val="00874C6F"/>
    <w:rsid w:val="008850FC"/>
    <w:rsid w:val="00887FB8"/>
    <w:rsid w:val="00895A5C"/>
    <w:rsid w:val="0089725B"/>
    <w:rsid w:val="008A4CA8"/>
    <w:rsid w:val="008A51EB"/>
    <w:rsid w:val="008B0F65"/>
    <w:rsid w:val="008B7B58"/>
    <w:rsid w:val="008C2FFA"/>
    <w:rsid w:val="008C687F"/>
    <w:rsid w:val="008E08AC"/>
    <w:rsid w:val="008E39E7"/>
    <w:rsid w:val="008E70A3"/>
    <w:rsid w:val="00905124"/>
    <w:rsid w:val="0091338B"/>
    <w:rsid w:val="0091501F"/>
    <w:rsid w:val="00915102"/>
    <w:rsid w:val="009260D6"/>
    <w:rsid w:val="00930E44"/>
    <w:rsid w:val="009316FA"/>
    <w:rsid w:val="00937938"/>
    <w:rsid w:val="00956C78"/>
    <w:rsid w:val="00963F10"/>
    <w:rsid w:val="00985327"/>
    <w:rsid w:val="009A34AD"/>
    <w:rsid w:val="009B66A8"/>
    <w:rsid w:val="009C07E4"/>
    <w:rsid w:val="009C2CAB"/>
    <w:rsid w:val="009C7F8B"/>
    <w:rsid w:val="009D3B83"/>
    <w:rsid w:val="009E253B"/>
    <w:rsid w:val="009F3779"/>
    <w:rsid w:val="00A10648"/>
    <w:rsid w:val="00A14C25"/>
    <w:rsid w:val="00A2410E"/>
    <w:rsid w:val="00A24B25"/>
    <w:rsid w:val="00A35AC1"/>
    <w:rsid w:val="00A5788A"/>
    <w:rsid w:val="00A77A53"/>
    <w:rsid w:val="00A87EE9"/>
    <w:rsid w:val="00A97707"/>
    <w:rsid w:val="00AB05AF"/>
    <w:rsid w:val="00AB0BB5"/>
    <w:rsid w:val="00AC081B"/>
    <w:rsid w:val="00AD76A9"/>
    <w:rsid w:val="00AE099D"/>
    <w:rsid w:val="00AF3CAE"/>
    <w:rsid w:val="00B13C4F"/>
    <w:rsid w:val="00B21DC3"/>
    <w:rsid w:val="00B24EC1"/>
    <w:rsid w:val="00B26BF4"/>
    <w:rsid w:val="00B344A6"/>
    <w:rsid w:val="00B56FB6"/>
    <w:rsid w:val="00B70B28"/>
    <w:rsid w:val="00B7123B"/>
    <w:rsid w:val="00B71E94"/>
    <w:rsid w:val="00BD0BBB"/>
    <w:rsid w:val="00BF2326"/>
    <w:rsid w:val="00BF6B44"/>
    <w:rsid w:val="00C040F8"/>
    <w:rsid w:val="00C12CEE"/>
    <w:rsid w:val="00C17346"/>
    <w:rsid w:val="00C20FD6"/>
    <w:rsid w:val="00C46948"/>
    <w:rsid w:val="00C5411C"/>
    <w:rsid w:val="00C5507E"/>
    <w:rsid w:val="00C72C9C"/>
    <w:rsid w:val="00C82897"/>
    <w:rsid w:val="00CA3F94"/>
    <w:rsid w:val="00CB3CA5"/>
    <w:rsid w:val="00CC0FF1"/>
    <w:rsid w:val="00CD01A7"/>
    <w:rsid w:val="00CD223B"/>
    <w:rsid w:val="00CD294E"/>
    <w:rsid w:val="00CE2FF4"/>
    <w:rsid w:val="00CE6199"/>
    <w:rsid w:val="00CF55F6"/>
    <w:rsid w:val="00D00166"/>
    <w:rsid w:val="00D058FC"/>
    <w:rsid w:val="00D10B59"/>
    <w:rsid w:val="00D118BE"/>
    <w:rsid w:val="00D358AB"/>
    <w:rsid w:val="00D56AEC"/>
    <w:rsid w:val="00D8629E"/>
    <w:rsid w:val="00D869DB"/>
    <w:rsid w:val="00DA02FD"/>
    <w:rsid w:val="00DA6B6B"/>
    <w:rsid w:val="00DB39F8"/>
    <w:rsid w:val="00DF7010"/>
    <w:rsid w:val="00E033DD"/>
    <w:rsid w:val="00E20C1E"/>
    <w:rsid w:val="00E422CD"/>
    <w:rsid w:val="00E6763B"/>
    <w:rsid w:val="00E81F44"/>
    <w:rsid w:val="00E909D0"/>
    <w:rsid w:val="00EA17E0"/>
    <w:rsid w:val="00EC444B"/>
    <w:rsid w:val="00ED48BA"/>
    <w:rsid w:val="00EE2B6B"/>
    <w:rsid w:val="00F1525A"/>
    <w:rsid w:val="00F244C4"/>
    <w:rsid w:val="00F27B9F"/>
    <w:rsid w:val="00F36450"/>
    <w:rsid w:val="00F43246"/>
    <w:rsid w:val="00F47D85"/>
    <w:rsid w:val="00F55EA3"/>
    <w:rsid w:val="00F60318"/>
    <w:rsid w:val="00F62268"/>
    <w:rsid w:val="00F67BE5"/>
    <w:rsid w:val="00F72DA2"/>
    <w:rsid w:val="00F84B01"/>
    <w:rsid w:val="00F8559A"/>
    <w:rsid w:val="00F957F6"/>
    <w:rsid w:val="00FA4101"/>
    <w:rsid w:val="00FB2022"/>
    <w:rsid w:val="00FB2519"/>
    <w:rsid w:val="00FF14BE"/>
    <w:rsid w:val="07BA60B2"/>
    <w:rsid w:val="09464EF4"/>
    <w:rsid w:val="0ABC6C10"/>
    <w:rsid w:val="0DD442F0"/>
    <w:rsid w:val="155A3096"/>
    <w:rsid w:val="22041D83"/>
    <w:rsid w:val="26687F7F"/>
    <w:rsid w:val="272B63CF"/>
    <w:rsid w:val="3D9D1679"/>
    <w:rsid w:val="46710424"/>
    <w:rsid w:val="483E2279"/>
    <w:rsid w:val="492C7461"/>
    <w:rsid w:val="506B099F"/>
    <w:rsid w:val="51215D32"/>
    <w:rsid w:val="523240D9"/>
    <w:rsid w:val="57661843"/>
    <w:rsid w:val="5D646213"/>
    <w:rsid w:val="5DB53236"/>
    <w:rsid w:val="60DA257F"/>
    <w:rsid w:val="688D73DD"/>
    <w:rsid w:val="6CEE1A85"/>
    <w:rsid w:val="6DEA63D9"/>
    <w:rsid w:val="6EFB0B8D"/>
    <w:rsid w:val="7AFD7CD6"/>
    <w:rsid w:val="7C401AA1"/>
    <w:rsid w:val="7DF87E96"/>
    <w:rsid w:val="7E7C6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 Char1"/>
    <w:basedOn w:val="1"/>
    <w:uiPriority w:val="0"/>
    <w:rPr>
      <w:rFonts w:ascii="Tahoma" w:hAnsi="Tahoma"/>
      <w:sz w:val="24"/>
      <w:szCs w:val="20"/>
    </w:rPr>
  </w:style>
  <w:style w:type="character" w:customStyle="1" w:styleId="10">
    <w:name w:val="页眉 字符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7</Pages>
  <Words>467</Words>
  <Characters>2662</Characters>
  <Lines>22</Lines>
  <Paragraphs>6</Paragraphs>
  <TotalTime>1</TotalTime>
  <ScaleCrop>false</ScaleCrop>
  <LinksUpToDate>false</LinksUpToDate>
  <CharactersWithSpaces>3123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2016-04-21T02:45:00Z</dcterms:created>
  <dc:creator>USER</dc:creator>
  <cp:lastModifiedBy>清华总裁班陈伟宏</cp:lastModifiedBy>
  <cp:lastPrinted>2018-04-04T08:31:00Z</cp:lastPrinted>
  <dcterms:modified xsi:type="dcterms:W3CDTF">2020-04-06T17:13:15Z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