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1276"/>
          <w:tab w:val="left" w:pos="1418"/>
          <w:tab w:val="left" w:pos="1560"/>
          <w:tab w:val="left" w:pos="7938"/>
          <w:tab w:val="left" w:pos="8364"/>
        </w:tabs>
        <w:jc w:val="center"/>
        <w:rPr>
          <w:rFonts w:hint="eastAsia"/>
          <w:b/>
          <w:color w:val="C0504D"/>
          <w:sz w:val="48"/>
          <w:szCs w:val="48"/>
        </w:rPr>
      </w:pPr>
      <w:r>
        <w:rPr>
          <w:rFonts w:hint="eastAsia" w:ascii="Arial" w:hAnsi="Arial" w:cs="Arial"/>
          <w:b/>
          <w:color w:val="C0504D"/>
          <w:sz w:val="48"/>
          <w:szCs w:val="48"/>
        </w:rPr>
        <w:t>中国</w:t>
      </w:r>
      <w:r>
        <w:rPr>
          <w:rFonts w:hint="eastAsia"/>
          <w:b/>
          <w:color w:val="C0504D"/>
          <w:sz w:val="48"/>
          <w:szCs w:val="48"/>
        </w:rPr>
        <w:t>医疗资本总裁高级研修班</w:t>
      </w:r>
    </w:p>
    <w:p>
      <w:pPr>
        <w:widowControl/>
        <w:spacing w:before="240" w:after="100" w:afterAutospacing="1" w:line="276" w:lineRule="auto"/>
        <w:jc w:val="center"/>
        <w:rPr>
          <w:rFonts w:hint="eastAsia"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把握中国医疗服务产业的黄金发展机遇</w:t>
      </w:r>
      <w:r>
        <w:rPr>
          <w:rFonts w:ascii="Arial" w:hAnsi="Arial" w:cs="Arial"/>
          <w:b/>
          <w:kern w:val="0"/>
          <w:sz w:val="24"/>
        </w:rPr>
        <w:t>——是选择</w:t>
      </w:r>
      <w:r>
        <w:rPr>
          <w:rFonts w:hint="eastAsia" w:ascii="Arial" w:hAnsi="Arial" w:cs="Arial"/>
          <w:b/>
          <w:kern w:val="0"/>
          <w:sz w:val="24"/>
        </w:rPr>
        <w:t>、</w:t>
      </w:r>
      <w:r>
        <w:rPr>
          <w:rFonts w:ascii="Arial" w:hAnsi="Arial" w:cs="Arial"/>
          <w:b/>
          <w:kern w:val="0"/>
          <w:sz w:val="24"/>
        </w:rPr>
        <w:t>是转</w:t>
      </w:r>
      <w:r>
        <w:rPr>
          <w:rFonts w:hint="eastAsia" w:ascii="Arial" w:hAnsi="Arial" w:cs="Arial"/>
          <w:b/>
          <w:kern w:val="0"/>
          <w:sz w:val="24"/>
        </w:rPr>
        <w:t>机</w:t>
      </w:r>
      <w:r>
        <w:rPr>
          <w:rFonts w:ascii="Arial" w:hAnsi="Arial" w:cs="Arial"/>
          <w:b/>
          <w:kern w:val="0"/>
          <w:sz w:val="24"/>
        </w:rPr>
        <w:t>、更是</w:t>
      </w:r>
      <w:r>
        <w:rPr>
          <w:rFonts w:hint="eastAsia" w:ascii="Arial" w:hAnsi="Arial" w:cs="Arial"/>
          <w:b/>
          <w:kern w:val="0"/>
          <w:sz w:val="24"/>
        </w:rPr>
        <w:t>契机</w:t>
      </w:r>
      <w:r>
        <w:rPr>
          <w:rFonts w:ascii="Arial" w:hAnsi="Arial" w:cs="Arial"/>
          <w:b/>
          <w:kern w:val="0"/>
          <w:sz w:val="24"/>
        </w:rPr>
        <w:t>！</w:t>
      </w:r>
    </w:p>
    <w:p>
      <w:pPr>
        <w:spacing w:line="460" w:lineRule="exac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【课程概述】 </w:t>
      </w:r>
    </w:p>
    <w:p>
      <w:pPr>
        <w:spacing w:line="46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2015年3月30日，国务院印发《</w:t>
      </w:r>
      <w:r>
        <w:rPr>
          <w:rStyle w:val="14"/>
          <w:rFonts w:ascii="宋体" w:hAnsi="宋体"/>
          <w:b w:val="0"/>
          <w:color w:val="000000"/>
          <w:sz w:val="24"/>
        </w:rPr>
        <w:t>全国医疗卫生服务体系规划纲</w:t>
      </w:r>
      <w:r>
        <w:rPr>
          <w:rStyle w:val="14"/>
          <w:rFonts w:hint="eastAsia" w:ascii="宋体" w:hAnsi="宋体"/>
          <w:b w:val="0"/>
          <w:color w:val="000000"/>
          <w:sz w:val="24"/>
        </w:rPr>
        <w:t>要》</w:t>
      </w:r>
      <w:r>
        <w:rPr>
          <w:rFonts w:hint="eastAsia"/>
          <w:sz w:val="24"/>
        </w:rPr>
        <w:t>对未来5年我国医疗卫生服务资源进行了全面规划，进一步深化医疗体制改革，全</w:t>
      </w:r>
      <w:r>
        <w:rPr>
          <w:sz w:val="24"/>
        </w:rPr>
        <w:t>新的医改政策将会</w:t>
      </w:r>
      <w:r>
        <w:rPr>
          <w:rFonts w:hint="eastAsia"/>
          <w:sz w:val="24"/>
        </w:rPr>
        <w:t>推动社会办医的快速发展。2</w:t>
      </w:r>
      <w:r>
        <w:rPr>
          <w:sz w:val="24"/>
        </w:rPr>
        <w:t>015</w:t>
      </w:r>
      <w:r>
        <w:rPr>
          <w:rFonts w:hint="eastAsia"/>
          <w:sz w:val="24"/>
        </w:rPr>
        <w:t>年10月29日</w:t>
      </w:r>
      <w:r>
        <w:rPr>
          <w:sz w:val="24"/>
        </w:rPr>
        <w:t>，</w:t>
      </w:r>
      <w:r>
        <w:rPr>
          <w:rFonts w:hint="eastAsia"/>
          <w:sz w:val="24"/>
        </w:rPr>
        <w:t>十八届</w:t>
      </w:r>
      <w:r>
        <w:rPr>
          <w:sz w:val="24"/>
        </w:rPr>
        <w:t>五中全会《中共中央关于制定国民经济和社会发展</w:t>
      </w:r>
      <w:r>
        <w:rPr>
          <w:rFonts w:hint="eastAsia"/>
          <w:sz w:val="24"/>
        </w:rPr>
        <w:t>第</w:t>
      </w:r>
      <w:r>
        <w:rPr>
          <w:sz w:val="24"/>
        </w:rPr>
        <w:t>十三个五年规划的建议》</w:t>
      </w:r>
      <w:r>
        <w:rPr>
          <w:rFonts w:hint="eastAsia"/>
          <w:sz w:val="24"/>
        </w:rPr>
        <w:t>提出</w:t>
      </w:r>
      <w:r>
        <w:rPr>
          <w:sz w:val="24"/>
        </w:rPr>
        <w:t>将“健康中国”升级为国家战略，</w:t>
      </w:r>
      <w:r>
        <w:rPr>
          <w:rFonts w:hint="eastAsia"/>
          <w:sz w:val="24"/>
        </w:rPr>
        <w:t>预期</w:t>
      </w:r>
      <w:r>
        <w:rPr>
          <w:sz w:val="24"/>
        </w:rPr>
        <w:t>将加快医疗</w:t>
      </w:r>
      <w:r>
        <w:rPr>
          <w:rFonts w:hint="eastAsia"/>
          <w:sz w:val="24"/>
        </w:rPr>
        <w:t>领域</w:t>
      </w:r>
      <w:r>
        <w:rPr>
          <w:sz w:val="24"/>
        </w:rPr>
        <w:t>体制机制改革，</w:t>
      </w:r>
      <w:r>
        <w:rPr>
          <w:rFonts w:hint="eastAsia"/>
          <w:sz w:val="24"/>
        </w:rPr>
        <w:t>大健康产业已成为全球最大的新兴产业，</w:t>
      </w:r>
      <w:r>
        <w:rPr>
          <w:sz w:val="24"/>
        </w:rPr>
        <w:t>医疗企业</w:t>
      </w:r>
      <w:r>
        <w:rPr>
          <w:rFonts w:hint="eastAsia"/>
          <w:sz w:val="24"/>
        </w:rPr>
        <w:t>面临</w:t>
      </w:r>
      <w:r>
        <w:rPr>
          <w:sz w:val="24"/>
        </w:rPr>
        <w:t>着</w:t>
      </w:r>
      <w:r>
        <w:rPr>
          <w:rFonts w:hint="eastAsia"/>
          <w:sz w:val="24"/>
        </w:rPr>
        <w:t>时代</w:t>
      </w:r>
      <w:r>
        <w:rPr>
          <w:sz w:val="24"/>
        </w:rPr>
        <w:t>的考验，</w:t>
      </w:r>
      <w:r>
        <w:rPr>
          <w:rFonts w:hint="eastAsia"/>
          <w:sz w:val="24"/>
        </w:rPr>
        <w:t>机遇与挑战并存</w:t>
      </w:r>
      <w:r>
        <w:rPr>
          <w:sz w:val="24"/>
        </w:rPr>
        <w:t>。</w:t>
      </w:r>
    </w:p>
    <w:p>
      <w:pPr>
        <w:spacing w:line="460" w:lineRule="exact"/>
        <w:ind w:firstLine="480" w:firstLineChars="200"/>
        <w:rPr>
          <w:rFonts w:hint="eastAsia"/>
          <w:sz w:val="24"/>
        </w:rPr>
      </w:pPr>
      <w:r>
        <w:rPr>
          <w:sz w:val="24"/>
        </w:rPr>
        <w:t>该</w:t>
      </w:r>
      <w:r>
        <w:rPr>
          <w:rFonts w:hint="eastAsia"/>
          <w:sz w:val="24"/>
        </w:rPr>
        <w:t>班</w:t>
      </w:r>
      <w:r>
        <w:rPr>
          <w:sz w:val="24"/>
        </w:rPr>
        <w:t>旨在探讨中国医疗</w:t>
      </w:r>
      <w:r>
        <w:rPr>
          <w:rFonts w:hint="eastAsia"/>
          <w:sz w:val="24"/>
        </w:rPr>
        <w:t>服务行业</w:t>
      </w:r>
      <w:r>
        <w:rPr>
          <w:sz w:val="24"/>
        </w:rPr>
        <w:t>的现状及未来发展趋势</w:t>
      </w:r>
      <w:r>
        <w:rPr>
          <w:rFonts w:hint="eastAsia"/>
          <w:sz w:val="24"/>
        </w:rPr>
        <w:t>，并着力搭建了一个多元化的资源平台，汇聚相关政府领导、学术专家、医疗服务机构知名企业家、境内外专业投资机构合伙人，通过资本取向与行业需求的完美结合，实现我国医疗服务行业的良性、快速发展。</w:t>
      </w:r>
    </w:p>
    <w:p>
      <w:pPr>
        <w:spacing w:line="460" w:lineRule="exact"/>
        <w:ind w:firstLine="480" w:firstLineChars="200"/>
        <w:rPr>
          <w:rFonts w:hint="eastAsia"/>
          <w:sz w:val="24"/>
        </w:rPr>
      </w:pPr>
    </w:p>
    <w:p>
      <w:pPr>
        <w:spacing w:line="460" w:lineRule="exac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【课程特色】</w:t>
      </w:r>
    </w:p>
    <w:p>
      <w:pPr>
        <w:numPr>
          <w:ilvl w:val="0"/>
          <w:numId w:val="1"/>
        </w:numPr>
        <w:tabs>
          <w:tab w:val="left" w:pos="-180"/>
        </w:tabs>
        <w:spacing w:line="460" w:lineRule="exact"/>
        <w:rPr>
          <w:rFonts w:hint="eastAsia"/>
          <w:sz w:val="24"/>
        </w:rPr>
      </w:pPr>
      <w:r>
        <w:rPr>
          <w:rFonts w:hint="eastAsia"/>
          <w:b/>
          <w:sz w:val="24"/>
        </w:rPr>
        <w:t>一年学习、三年复训</w:t>
      </w:r>
      <w:r>
        <w:rPr>
          <w:rFonts w:hint="eastAsia"/>
          <w:sz w:val="24"/>
        </w:rPr>
        <w:t>：每年对课程体系、导师进行系统升级调整，学员结业后三年依旧可以免费复训参加学习，进一步深化了学习的维度，为学员搭建起更加持久的终身学习平台。</w:t>
      </w:r>
    </w:p>
    <w:p>
      <w:pPr>
        <w:numPr>
          <w:ilvl w:val="0"/>
          <w:numId w:val="1"/>
        </w:numPr>
        <w:tabs>
          <w:tab w:val="left" w:pos="-180"/>
        </w:tabs>
        <w:spacing w:line="460" w:lineRule="exact"/>
        <w:rPr>
          <w:rFonts w:hint="eastAsia"/>
          <w:sz w:val="24"/>
        </w:rPr>
      </w:pPr>
      <w:r>
        <w:rPr>
          <w:rFonts w:hint="eastAsia"/>
          <w:b/>
          <w:sz w:val="24"/>
        </w:rPr>
        <w:t>专注行业、资本助力</w:t>
      </w:r>
      <w:r>
        <w:rPr>
          <w:rFonts w:hint="eastAsia"/>
          <w:sz w:val="24"/>
        </w:rPr>
        <w:t>：通过资本取向与行业需求的完美结合，全面探讨行业发展趋势，把握政策方向、明确战略定位、领悟资本机会、创造资本价值、实现企业快速发展。</w:t>
      </w:r>
    </w:p>
    <w:p>
      <w:pPr>
        <w:numPr>
          <w:ilvl w:val="0"/>
          <w:numId w:val="1"/>
        </w:numPr>
        <w:tabs>
          <w:tab w:val="left" w:pos="-360"/>
          <w:tab w:val="left" w:pos="-180"/>
        </w:tabs>
        <w:spacing w:line="460" w:lineRule="exact"/>
        <w:rPr>
          <w:rFonts w:hint="eastAsia"/>
          <w:sz w:val="24"/>
        </w:rPr>
      </w:pPr>
      <w:r>
        <w:rPr>
          <w:rFonts w:hint="eastAsia"/>
          <w:b/>
          <w:sz w:val="24"/>
        </w:rPr>
        <w:t>国际游学、高端交流</w:t>
      </w:r>
      <w:r>
        <w:rPr>
          <w:rFonts w:hint="eastAsia"/>
          <w:sz w:val="24"/>
        </w:rPr>
        <w:t>：依据医疗形态选择香港、日本进行深入实地参观、学习、交流、合作，整个过程将使学员学以致用、融会贯通、高屋建瓴，并最终帮助学员在企业创新、探寻发展之路。</w:t>
      </w:r>
    </w:p>
    <w:p>
      <w:pPr>
        <w:numPr>
          <w:ilvl w:val="0"/>
          <w:numId w:val="1"/>
        </w:numPr>
        <w:tabs>
          <w:tab w:val="left" w:pos="210"/>
        </w:tabs>
        <w:spacing w:line="46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精彩活动、同学联谊</w:t>
      </w:r>
      <w:r>
        <w:rPr>
          <w:rFonts w:hint="eastAsia"/>
          <w:sz w:val="24"/>
        </w:rPr>
        <w:t>：定期举办高端峰会/专题研讨会/沙龙/参观考察/班级联谊等丰富活动，共享优质项目及人脉资源，参与发起同学联谊基金，构建高端同学会发展平台。</w:t>
      </w:r>
    </w:p>
    <w:p>
      <w:pPr>
        <w:tabs>
          <w:tab w:val="left" w:pos="210"/>
        </w:tabs>
        <w:spacing w:line="460" w:lineRule="exact"/>
        <w:ind w:left="284"/>
        <w:rPr>
          <w:rFonts w:hint="eastAsia"/>
          <w:b/>
          <w:sz w:val="24"/>
        </w:rPr>
      </w:pPr>
    </w:p>
    <w:p>
      <w:pPr>
        <w:spacing w:line="46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【核心师资】</w:t>
      </w:r>
    </w:p>
    <w:p>
      <w:pPr>
        <w:spacing w:line="460" w:lineRule="exact"/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邀请清华、北大等高等学府教授精彩论道，卫计委等政府领导剖析相关政策法规，国内外著名实战型高级投资合伙人传授投资之道，知名医疗服务机构明星BOSS传授创业智慧和实操经验。</w:t>
      </w:r>
    </w:p>
    <w:p>
      <w:pPr>
        <w:spacing w:line="120" w:lineRule="atLeast"/>
        <w:rPr>
          <w:rFonts w:hint="eastAsia" w:ascii="宋体" w:hAnsi="宋体"/>
          <w:b/>
          <w:sz w:val="28"/>
          <w:szCs w:val="28"/>
        </w:rPr>
      </w:pPr>
    </w:p>
    <w:p>
      <w:pPr>
        <w:spacing w:line="120" w:lineRule="atLeast"/>
        <w:rPr>
          <w:rFonts w:hint="eastAsia" w:ascii="宋体" w:hAnsi="宋体"/>
          <w:b/>
          <w:sz w:val="28"/>
          <w:szCs w:val="28"/>
        </w:rPr>
      </w:pPr>
    </w:p>
    <w:p>
      <w:pPr>
        <w:spacing w:line="120" w:lineRule="atLeas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【</w:t>
      </w:r>
      <w:r>
        <w:rPr>
          <w:rFonts w:hint="eastAsia"/>
          <w:b/>
          <w:sz w:val="28"/>
          <w:szCs w:val="28"/>
        </w:rPr>
        <w:t>课程设置及活动安排</w:t>
      </w:r>
      <w:r>
        <w:rPr>
          <w:rFonts w:hint="eastAsia" w:ascii="宋体" w:hAnsi="宋体"/>
          <w:b/>
          <w:sz w:val="28"/>
          <w:szCs w:val="28"/>
        </w:rPr>
        <w:t>】</w:t>
      </w:r>
    </w:p>
    <w:tbl>
      <w:tblPr>
        <w:tblStyle w:val="9"/>
        <w:tblW w:w="0" w:type="auto"/>
        <w:tblInd w:w="0" w:type="dxa"/>
        <w:tbl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single" w:color="CF7B79" w:sz="8" w:space="0"/>
          <w:insideV w:val="single" w:color="CF7B79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3"/>
        <w:gridCol w:w="5245"/>
      </w:tblGrid>
      <w:tr>
        <w:tblPrEx>
          <w:tblBorders>
            <w:top w:val="single" w:color="CF7B79" w:sz="8" w:space="0"/>
            <w:left w:val="single" w:color="CF7B79" w:sz="8" w:space="0"/>
            <w:bottom w:val="single" w:color="CF7B79" w:sz="8" w:space="0"/>
            <w:right w:val="single" w:color="CF7B79" w:sz="8" w:space="0"/>
            <w:insideH w:val="single" w:color="CF7B79" w:sz="8" w:space="0"/>
            <w:insideV w:val="single" w:color="CF7B7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58" w:hRule="atLeast"/>
        </w:trPr>
        <w:tc>
          <w:tcPr>
            <w:tcW w:w="10598" w:type="dxa"/>
            <w:gridSpan w:val="2"/>
            <w:shd w:val="clear" w:color="auto" w:fill="EFD3D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 w:val="24"/>
                <w:szCs w:val="21"/>
              </w:rPr>
            </w:pPr>
            <w:bookmarkStart w:id="0" w:name="OLE_LINK5"/>
            <w:bookmarkStart w:id="1" w:name="OLE_LINK6"/>
            <w:bookmarkStart w:id="2" w:name="OLE_LINK11"/>
            <w:bookmarkStart w:id="3" w:name="OLE_LINK12"/>
            <w:bookmarkStart w:id="4" w:name="OLE_LINK13"/>
            <w:bookmarkStart w:id="5" w:name="OLE_LINK24"/>
            <w:bookmarkStart w:id="6" w:name="OLE_LINK19"/>
            <w:bookmarkStart w:id="7" w:name="OLE_LINK21"/>
            <w:r>
              <w:rPr>
                <w:rFonts w:hint="eastAsia" w:ascii="宋体" w:hAnsi="宋体" w:cs="宋体"/>
                <w:b/>
                <w:bCs/>
                <w:sz w:val="24"/>
                <w:szCs w:val="21"/>
              </w:rPr>
              <w:t>第一周：资本思维与资本价值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1"/>
              </w:rPr>
              <w:t>（授课地点：北京）</w:t>
            </w:r>
          </w:p>
        </w:tc>
      </w:tr>
      <w:tr>
        <w:tblPrEx>
          <w:tblBorders>
            <w:top w:val="single" w:color="CF7B79" w:sz="8" w:space="0"/>
            <w:left w:val="single" w:color="CF7B79" w:sz="8" w:space="0"/>
            <w:bottom w:val="single" w:color="CF7B79" w:sz="8" w:space="0"/>
            <w:right w:val="single" w:color="CF7B79" w:sz="8" w:space="0"/>
            <w:insideH w:val="single" w:color="CF7B79" w:sz="8" w:space="0"/>
            <w:insideV w:val="single" w:color="CF7B7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63" w:hRule="atLeast"/>
        </w:trPr>
        <w:tc>
          <w:tcPr>
            <w:tcW w:w="5353" w:type="dxa"/>
            <w:shd w:val="clear" w:color="auto" w:fill="DFA7A6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sz w:val="24"/>
                <w:szCs w:val="21"/>
              </w:rPr>
              <w:t>资本的思维与资本的力量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sz w:val="24"/>
                <w:szCs w:val="21"/>
              </w:rPr>
              <w:t>金融学理论基础知识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sz w:val="24"/>
                <w:szCs w:val="21"/>
              </w:rPr>
              <w:t>医疗产业资本的机会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sz w:val="24"/>
                <w:szCs w:val="21"/>
              </w:rPr>
              <w:t>医疗产业资本市场与企业价值再造</w:t>
            </w:r>
          </w:p>
        </w:tc>
        <w:tc>
          <w:tcPr>
            <w:tcW w:w="5245" w:type="dxa"/>
            <w:shd w:val="clear" w:color="auto" w:fill="DFA7A6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color w:val="333333"/>
                <w:szCs w:val="21"/>
              </w:rPr>
            </w:pPr>
            <w:r>
              <w:rPr>
                <w:rFonts w:hint="eastAsia"/>
                <w:b/>
                <w:bCs/>
                <w:color w:val="333333"/>
                <w:szCs w:val="21"/>
              </w:rPr>
              <w:t>教学目标</w:t>
            </w:r>
            <w:r>
              <w:rPr>
                <w:rFonts w:hint="eastAsia"/>
                <w:b/>
                <w:bCs/>
                <w:color w:val="333333"/>
                <w:szCs w:val="21"/>
                <w:lang w:eastAsia="zh-CN"/>
              </w:rPr>
              <w:t>：</w:t>
            </w:r>
            <w:r>
              <w:rPr>
                <w:rFonts w:hint="eastAsia"/>
                <w:color w:val="333333"/>
                <w:szCs w:val="21"/>
              </w:rPr>
              <w:t>打开资本的思维，掌握资本市场、经济金融学的基础原理，把握医疗产业资本的机会；帮助企业家学员真正打开资本的思维并理解资本的价值</w:t>
            </w:r>
            <w:r>
              <w:rPr>
                <w:rFonts w:hint="eastAsia"/>
                <w:color w:val="333333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CF7B79" w:sz="8" w:space="0"/>
            <w:left w:val="single" w:color="CF7B79" w:sz="8" w:space="0"/>
            <w:bottom w:val="single" w:color="CF7B79" w:sz="8" w:space="0"/>
            <w:right w:val="single" w:color="CF7B79" w:sz="8" w:space="0"/>
            <w:insideH w:val="single" w:color="CF7B79" w:sz="8" w:space="0"/>
            <w:insideV w:val="single" w:color="CF7B7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6" w:hRule="atLeast"/>
        </w:trPr>
        <w:tc>
          <w:tcPr>
            <w:tcW w:w="10598" w:type="dxa"/>
            <w:gridSpan w:val="2"/>
            <w:shd w:val="clear" w:color="auto" w:fill="EFD3D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1"/>
              </w:rPr>
              <w:t>第二周：融资策略与融资渠道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1"/>
                <w:lang w:eastAsia="zh-CN"/>
              </w:rPr>
              <w:t>（授课地点</w:t>
            </w:r>
            <w:r>
              <w:rPr>
                <w:rFonts w:hint="eastAsia" w:ascii="宋体" w:hAnsi="宋体" w:cs="宋体"/>
                <w:b/>
                <w:bCs/>
                <w:sz w:val="24"/>
                <w:szCs w:val="21"/>
                <w:lang w:val="en-US" w:eastAsia="zh-CN"/>
              </w:rPr>
              <w:t>:北京</w:t>
            </w:r>
            <w:r>
              <w:rPr>
                <w:rFonts w:hint="eastAsia" w:ascii="宋体" w:hAnsi="宋体" w:cs="宋体"/>
                <w:b/>
                <w:bCs/>
                <w:sz w:val="24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CF7B79" w:sz="8" w:space="0"/>
            <w:left w:val="single" w:color="CF7B79" w:sz="8" w:space="0"/>
            <w:bottom w:val="single" w:color="CF7B79" w:sz="8" w:space="0"/>
            <w:right w:val="single" w:color="CF7B79" w:sz="8" w:space="0"/>
            <w:insideH w:val="single" w:color="CF7B79" w:sz="8" w:space="0"/>
            <w:insideV w:val="single" w:color="CF7B7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90" w:hRule="atLeast"/>
        </w:trPr>
        <w:tc>
          <w:tcPr>
            <w:tcW w:w="5353" w:type="dxa"/>
            <w:shd w:val="clear" w:color="auto" w:fill="DFA7A6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sz w:val="24"/>
                <w:szCs w:val="21"/>
              </w:rPr>
              <w:t>医疗产业融资策略与方法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sz w:val="24"/>
                <w:szCs w:val="21"/>
              </w:rPr>
              <w:t>医疗产业股权融资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sz w:val="24"/>
                <w:szCs w:val="21"/>
              </w:rPr>
              <w:t>医疗产业债权融资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spacing w:val="-2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sz w:val="24"/>
                <w:szCs w:val="21"/>
              </w:rPr>
              <w:t>医疗上市路径选择</w:t>
            </w:r>
          </w:p>
        </w:tc>
        <w:tc>
          <w:tcPr>
            <w:tcW w:w="5245" w:type="dxa"/>
            <w:shd w:val="clear" w:color="auto" w:fill="DFA7A6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333333"/>
                <w:szCs w:val="21"/>
              </w:rPr>
            </w:pPr>
            <w:r>
              <w:rPr>
                <w:rFonts w:hint="eastAsia"/>
                <w:b/>
                <w:bCs/>
                <w:color w:val="333333"/>
                <w:szCs w:val="21"/>
              </w:rPr>
              <w:t>教学目标</w:t>
            </w:r>
            <w:r>
              <w:rPr>
                <w:rFonts w:hint="eastAsia"/>
                <w:b/>
                <w:bCs/>
                <w:color w:val="333333"/>
                <w:szCs w:val="21"/>
                <w:lang w:eastAsia="zh-CN"/>
              </w:rPr>
              <w:t>：</w:t>
            </w:r>
            <w:r>
              <w:rPr>
                <w:rFonts w:hint="eastAsia"/>
                <w:color w:val="333333"/>
                <w:szCs w:val="21"/>
              </w:rPr>
              <w:t>了解医疗产业融资过程、渠道与策略，通过债权和股权科学融资，</w:t>
            </w:r>
            <w:r>
              <w:rPr>
                <w:rFonts w:hint="eastAsia"/>
                <w:bCs/>
                <w:color w:val="333333"/>
                <w:szCs w:val="21"/>
              </w:rPr>
              <w:t>既要敢于融资、大胆融资，又谨慎融资、善于融资；帮助企业家学员如何用好融资的手段实现</w:t>
            </w:r>
            <w:r>
              <w:rPr>
                <w:rFonts w:hint="eastAsia"/>
                <w:color w:val="333333"/>
                <w:szCs w:val="21"/>
              </w:rPr>
              <w:t>企业快速发展。</w:t>
            </w:r>
          </w:p>
        </w:tc>
      </w:tr>
      <w:tr>
        <w:tblPrEx>
          <w:tblBorders>
            <w:top w:val="single" w:color="CF7B79" w:sz="8" w:space="0"/>
            <w:left w:val="single" w:color="CF7B79" w:sz="8" w:space="0"/>
            <w:bottom w:val="single" w:color="CF7B79" w:sz="8" w:space="0"/>
            <w:right w:val="single" w:color="CF7B79" w:sz="8" w:space="0"/>
            <w:insideH w:val="single" w:color="CF7B79" w:sz="8" w:space="0"/>
            <w:insideV w:val="single" w:color="CF7B7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1" w:hRule="atLeast"/>
        </w:trPr>
        <w:tc>
          <w:tcPr>
            <w:tcW w:w="10598" w:type="dxa"/>
            <w:gridSpan w:val="2"/>
            <w:shd w:val="clear" w:color="auto" w:fill="EFD3D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1"/>
              </w:rPr>
              <w:t>第三周:香港游学（五天四晚）</w:t>
            </w:r>
          </w:p>
        </w:tc>
      </w:tr>
      <w:tr>
        <w:tblPrEx>
          <w:tblBorders>
            <w:top w:val="single" w:color="CF7B79" w:sz="8" w:space="0"/>
            <w:left w:val="single" w:color="CF7B79" w:sz="8" w:space="0"/>
            <w:bottom w:val="single" w:color="CF7B79" w:sz="8" w:space="0"/>
            <w:right w:val="single" w:color="CF7B79" w:sz="8" w:space="0"/>
            <w:insideH w:val="single" w:color="CF7B79" w:sz="8" w:space="0"/>
            <w:insideV w:val="single" w:color="CF7B7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65" w:hRule="atLeast"/>
        </w:trPr>
        <w:tc>
          <w:tcPr>
            <w:tcW w:w="5353" w:type="dxa"/>
            <w:shd w:val="clear" w:color="auto" w:fill="DFA7A6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sz w:val="24"/>
                <w:szCs w:val="21"/>
              </w:rPr>
              <w:t>香港医疗政策与机遇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sz w:val="24"/>
                <w:szCs w:val="21"/>
              </w:rPr>
              <w:t>港交所医疗上市路径及案例分享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sz w:val="24"/>
                <w:szCs w:val="21"/>
              </w:rPr>
              <w:t>全球大趋势.大博弈</w:t>
            </w:r>
          </w:p>
        </w:tc>
        <w:tc>
          <w:tcPr>
            <w:tcW w:w="5245" w:type="dxa"/>
            <w:shd w:val="clear" w:color="auto" w:fill="DFA7A6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333333"/>
                <w:szCs w:val="21"/>
              </w:rPr>
            </w:pPr>
            <w:r>
              <w:rPr>
                <w:rFonts w:hint="eastAsia"/>
                <w:b/>
                <w:bCs/>
                <w:color w:val="333333"/>
                <w:szCs w:val="21"/>
              </w:rPr>
              <w:t>教学目标</w:t>
            </w:r>
            <w:r>
              <w:rPr>
                <w:rFonts w:hint="eastAsia"/>
                <w:b/>
                <w:bCs/>
                <w:color w:val="333333"/>
                <w:szCs w:val="21"/>
                <w:lang w:eastAsia="zh-CN"/>
              </w:rPr>
              <w:t>：</w:t>
            </w:r>
            <w:r>
              <w:rPr>
                <w:rFonts w:hint="eastAsia"/>
                <w:color w:val="333333"/>
                <w:szCs w:val="21"/>
              </w:rPr>
              <w:t>了解香港医疗市场坏境,熟悉港交所上市的路径以及相关案例分析，同时从全球的角度看趋势；帮助企业家学员换个视觉了解自身企业，为企业的战略发展提供更广阔的机遇</w:t>
            </w:r>
            <w:r>
              <w:rPr>
                <w:rFonts w:hint="eastAsia"/>
                <w:color w:val="333333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CF7B79" w:sz="8" w:space="0"/>
            <w:left w:val="single" w:color="CF7B79" w:sz="8" w:space="0"/>
            <w:bottom w:val="single" w:color="CF7B79" w:sz="8" w:space="0"/>
            <w:right w:val="single" w:color="CF7B79" w:sz="8" w:space="0"/>
            <w:insideH w:val="single" w:color="CF7B79" w:sz="8" w:space="0"/>
            <w:insideV w:val="single" w:color="CF7B7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</w:trPr>
        <w:tc>
          <w:tcPr>
            <w:tcW w:w="10598" w:type="dxa"/>
            <w:gridSpan w:val="2"/>
            <w:shd w:val="clear" w:color="auto" w:fill="EFD3D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1"/>
              </w:rPr>
              <w:t>第四周：医疗大健康产业商业模式创新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1"/>
              </w:rPr>
              <w:t>（授课地点：杭州）</w:t>
            </w:r>
          </w:p>
        </w:tc>
      </w:tr>
      <w:tr>
        <w:tblPrEx>
          <w:tblBorders>
            <w:top w:val="single" w:color="CF7B79" w:sz="8" w:space="0"/>
            <w:left w:val="single" w:color="CF7B79" w:sz="8" w:space="0"/>
            <w:bottom w:val="single" w:color="CF7B79" w:sz="8" w:space="0"/>
            <w:right w:val="single" w:color="CF7B79" w:sz="8" w:space="0"/>
            <w:insideH w:val="single" w:color="CF7B79" w:sz="8" w:space="0"/>
            <w:insideV w:val="single" w:color="CF7B7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09" w:hRule="atLeast"/>
        </w:trPr>
        <w:tc>
          <w:tcPr>
            <w:tcW w:w="5353" w:type="dxa"/>
            <w:shd w:val="clear" w:color="auto" w:fill="DFA7A6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sz w:val="24"/>
                <w:szCs w:val="21"/>
              </w:rPr>
              <w:t>互联网思维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sz w:val="24"/>
                <w:szCs w:val="21"/>
              </w:rPr>
              <w:t>医疗商业模式创新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sz w:val="24"/>
                <w:szCs w:val="21"/>
              </w:rPr>
              <w:t>互联网医疗</w:t>
            </w:r>
          </w:p>
        </w:tc>
        <w:tc>
          <w:tcPr>
            <w:tcW w:w="5245" w:type="dxa"/>
            <w:shd w:val="clear" w:color="auto" w:fill="DFA7A6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color w:val="333333"/>
                <w:szCs w:val="21"/>
              </w:rPr>
            </w:pPr>
            <w:r>
              <w:rPr>
                <w:rFonts w:hint="eastAsia"/>
                <w:b/>
                <w:bCs/>
                <w:color w:val="333333"/>
                <w:szCs w:val="21"/>
              </w:rPr>
              <w:t>教学目标：</w:t>
            </w:r>
            <w:r>
              <w:rPr>
                <w:rFonts w:hint="eastAsia"/>
                <w:color w:val="333333"/>
                <w:szCs w:val="21"/>
              </w:rPr>
              <w:t>打开互联网思维，洞察医疗商业新模式，熟悉互联网医疗；帮助企业家学员在“互联网+”的时代里可以探索、创新以实现企业超常规发展</w:t>
            </w:r>
            <w:r>
              <w:rPr>
                <w:rFonts w:hint="eastAsia"/>
                <w:color w:val="333333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CF7B79" w:sz="8" w:space="0"/>
            <w:left w:val="single" w:color="CF7B79" w:sz="8" w:space="0"/>
            <w:bottom w:val="single" w:color="CF7B79" w:sz="8" w:space="0"/>
            <w:right w:val="single" w:color="CF7B79" w:sz="8" w:space="0"/>
            <w:insideH w:val="single" w:color="CF7B79" w:sz="8" w:space="0"/>
            <w:insideV w:val="single" w:color="CF7B7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9" w:hRule="atLeast"/>
        </w:trPr>
        <w:tc>
          <w:tcPr>
            <w:tcW w:w="10598" w:type="dxa"/>
            <w:gridSpan w:val="2"/>
            <w:shd w:val="clear" w:color="auto" w:fill="EFD3D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1"/>
              </w:rPr>
              <w:t>第五周：日本游学（七天六晚）</w:t>
            </w:r>
          </w:p>
        </w:tc>
      </w:tr>
      <w:tr>
        <w:tblPrEx>
          <w:tblBorders>
            <w:top w:val="single" w:color="CF7B79" w:sz="8" w:space="0"/>
            <w:left w:val="single" w:color="CF7B79" w:sz="8" w:space="0"/>
            <w:bottom w:val="single" w:color="CF7B79" w:sz="8" w:space="0"/>
            <w:right w:val="single" w:color="CF7B79" w:sz="8" w:space="0"/>
            <w:insideH w:val="single" w:color="CF7B79" w:sz="8" w:space="0"/>
            <w:insideV w:val="single" w:color="CF7B7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85" w:hRule="atLeast"/>
        </w:trPr>
        <w:tc>
          <w:tcPr>
            <w:tcW w:w="5353" w:type="dxa"/>
            <w:shd w:val="clear" w:color="auto" w:fill="DFA7A6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sz w:val="24"/>
                <w:szCs w:val="21"/>
              </w:rPr>
              <w:t>中日医疗企业家交流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sz w:val="24"/>
                <w:szCs w:val="21"/>
              </w:rPr>
              <w:t>大健康产业参访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sz w:val="24"/>
                <w:szCs w:val="21"/>
              </w:rPr>
              <w:t>专家讲座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sz w:val="24"/>
                <w:szCs w:val="21"/>
              </w:rPr>
              <w:t>著名景点参观旅游</w:t>
            </w:r>
          </w:p>
          <w:p>
            <w:pPr>
              <w:widowControl/>
              <w:spacing w:line="300" w:lineRule="exact"/>
              <w:jc w:val="both"/>
              <w:rPr>
                <w:rFonts w:hint="eastAsia" w:ascii="宋体" w:hAnsi="宋体" w:cs="宋体"/>
                <w:bCs/>
                <w:sz w:val="24"/>
                <w:szCs w:val="21"/>
              </w:rPr>
            </w:pPr>
          </w:p>
        </w:tc>
        <w:tc>
          <w:tcPr>
            <w:tcW w:w="5245" w:type="dxa"/>
            <w:shd w:val="clear" w:color="auto" w:fill="DFA7A6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333333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333333"/>
                <w:szCs w:val="21"/>
              </w:rPr>
              <w:t>教学目标：</w:t>
            </w:r>
            <w:r>
              <w:rPr>
                <w:rFonts w:hint="eastAsia"/>
                <w:color w:val="333333"/>
                <w:szCs w:val="21"/>
              </w:rPr>
              <w:t>通过中日医疗企业家交流、大健康产业参访、专家高端讲座、著名景点旅游，进行中日医疗资源的整合，汲取日本大健康产业成功经验，学习日本健康产业投资、运营管理体系，感受日本独特的风情、文化</w:t>
            </w:r>
            <w:r>
              <w:rPr>
                <w:rFonts w:hint="eastAsia"/>
                <w:color w:val="333333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CF7B79" w:sz="8" w:space="0"/>
            <w:left w:val="single" w:color="CF7B79" w:sz="8" w:space="0"/>
            <w:bottom w:val="single" w:color="CF7B79" w:sz="8" w:space="0"/>
            <w:right w:val="single" w:color="CF7B79" w:sz="8" w:space="0"/>
            <w:insideH w:val="single" w:color="CF7B79" w:sz="8" w:space="0"/>
            <w:insideV w:val="single" w:color="CF7B7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50" w:hRule="atLeast"/>
        </w:trPr>
        <w:tc>
          <w:tcPr>
            <w:tcW w:w="10598" w:type="dxa"/>
            <w:gridSpan w:val="2"/>
            <w:shd w:val="clear" w:color="auto" w:fill="EFD3D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1"/>
              </w:rPr>
              <w:t>第六周：投资战略与投资渠道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1"/>
              </w:rPr>
              <w:t>（授课地点：北京）</w:t>
            </w:r>
          </w:p>
        </w:tc>
      </w:tr>
      <w:tr>
        <w:tblPrEx>
          <w:tblBorders>
            <w:top w:val="single" w:color="CF7B79" w:sz="8" w:space="0"/>
            <w:left w:val="single" w:color="CF7B79" w:sz="8" w:space="0"/>
            <w:bottom w:val="single" w:color="CF7B79" w:sz="8" w:space="0"/>
            <w:right w:val="single" w:color="CF7B79" w:sz="8" w:space="0"/>
            <w:insideH w:val="single" w:color="CF7B79" w:sz="8" w:space="0"/>
            <w:insideV w:val="single" w:color="CF7B7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20" w:hRule="atLeast"/>
        </w:trPr>
        <w:tc>
          <w:tcPr>
            <w:tcW w:w="5353" w:type="dxa"/>
            <w:shd w:val="clear" w:color="auto" w:fill="DFA7A6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sz w:val="24"/>
                <w:szCs w:val="21"/>
              </w:rPr>
              <w:t>医疗产业投资理念与策略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sz w:val="24"/>
                <w:szCs w:val="21"/>
              </w:rPr>
              <w:t>医疗健康产业基金实操运作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sz w:val="24"/>
                <w:szCs w:val="21"/>
              </w:rPr>
              <w:t>私募股权基金投资及管理模式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sz w:val="24"/>
                <w:szCs w:val="21"/>
              </w:rPr>
              <w:t>医疗企业收并购</w:t>
            </w:r>
          </w:p>
        </w:tc>
        <w:tc>
          <w:tcPr>
            <w:tcW w:w="5245" w:type="dxa"/>
            <w:shd w:val="clear" w:color="auto" w:fill="DFA7A6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/>
                <w:bCs/>
                <w:color w:val="333333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333333"/>
                <w:szCs w:val="21"/>
              </w:rPr>
              <w:t>教学目标：</w:t>
            </w:r>
            <w:r>
              <w:rPr>
                <w:rFonts w:hint="eastAsia"/>
                <w:color w:val="333333"/>
                <w:szCs w:val="21"/>
              </w:rPr>
              <w:t>了解医疗产业投资理念与策略，通过私募股权投资、医疗产业基金实操运作，掌握并购原理与方法，规避并购风险，拓展企业家的投资渠道组合，帮助企业家学员达成</w:t>
            </w:r>
            <w:r>
              <w:rPr>
                <w:rFonts w:hint="eastAsia"/>
                <w:bCs/>
                <w:color w:val="333333"/>
                <w:szCs w:val="21"/>
              </w:rPr>
              <w:t>从“企业家”——“投资家”思维的提升和转变</w:t>
            </w:r>
            <w:r>
              <w:rPr>
                <w:rFonts w:hint="eastAsia"/>
                <w:bCs/>
                <w:color w:val="333333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CF7B79" w:sz="8" w:space="0"/>
            <w:left w:val="single" w:color="CF7B79" w:sz="8" w:space="0"/>
            <w:bottom w:val="single" w:color="CF7B79" w:sz="8" w:space="0"/>
            <w:right w:val="single" w:color="CF7B79" w:sz="8" w:space="0"/>
            <w:insideH w:val="single" w:color="CF7B79" w:sz="8" w:space="0"/>
            <w:insideV w:val="single" w:color="CF7B7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7" w:hRule="atLeast"/>
        </w:trPr>
        <w:tc>
          <w:tcPr>
            <w:tcW w:w="10598" w:type="dxa"/>
            <w:gridSpan w:val="2"/>
            <w:shd w:val="clear" w:color="auto" w:fill="EFD3D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1"/>
              </w:rPr>
              <w:t>参访学习与交流分享</w:t>
            </w:r>
            <w:r>
              <w:rPr>
                <w:rFonts w:ascii="宋体" w:hAnsi="宋体" w:cs="宋体"/>
                <w:b/>
                <w:bCs/>
                <w:sz w:val="24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sz w:val="24"/>
                <w:szCs w:val="21"/>
              </w:rPr>
              <w:t>（参访学习地点：知名医疗上市/准上市企业）</w:t>
            </w:r>
          </w:p>
        </w:tc>
      </w:tr>
      <w:tr>
        <w:tblPrEx>
          <w:tblBorders>
            <w:top w:val="single" w:color="CF7B79" w:sz="8" w:space="0"/>
            <w:left w:val="single" w:color="CF7B79" w:sz="8" w:space="0"/>
            <w:bottom w:val="single" w:color="CF7B79" w:sz="8" w:space="0"/>
            <w:right w:val="single" w:color="CF7B79" w:sz="8" w:space="0"/>
            <w:insideH w:val="single" w:color="CF7B79" w:sz="8" w:space="0"/>
            <w:insideV w:val="single" w:color="CF7B7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00" w:hRule="atLeast"/>
        </w:trPr>
        <w:tc>
          <w:tcPr>
            <w:tcW w:w="5353" w:type="dxa"/>
            <w:shd w:val="clear" w:color="auto" w:fill="DFA7A6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sz w:val="24"/>
                <w:szCs w:val="21"/>
              </w:rPr>
              <w:t>6家行业知名医疗机构参访学习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sz w:val="24"/>
                <w:szCs w:val="21"/>
              </w:rPr>
              <w:t>6位行业大佬掌门现身说法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sz w:val="24"/>
                <w:szCs w:val="21"/>
              </w:rPr>
              <w:t>6场专题学术沙龙思维碰撞</w:t>
            </w:r>
          </w:p>
        </w:tc>
        <w:tc>
          <w:tcPr>
            <w:tcW w:w="5245" w:type="dxa"/>
            <w:shd w:val="clear" w:color="auto" w:fill="DFA7A6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color w:val="333333"/>
                <w:szCs w:val="21"/>
              </w:rPr>
            </w:pPr>
            <w:r>
              <w:rPr>
                <w:rFonts w:hint="eastAsia"/>
                <w:b/>
                <w:bCs/>
                <w:color w:val="333333"/>
                <w:szCs w:val="21"/>
              </w:rPr>
              <w:t>教学目标：</w:t>
            </w:r>
            <w:r>
              <w:rPr>
                <w:rFonts w:hint="eastAsia"/>
                <w:color w:val="333333"/>
                <w:szCs w:val="21"/>
              </w:rPr>
              <w:t>通过多家医疗实体机构的参观学习、与医疗行业上市及准上市公司BOSS现场交流分享、每周一次的医疗行业专题沙龙思维碰撞；帮助企业家学员真正的领悟医疗企业家的理念和精髓</w:t>
            </w:r>
            <w:r>
              <w:rPr>
                <w:rFonts w:hint="eastAsia"/>
                <w:color w:val="333333"/>
                <w:szCs w:val="21"/>
                <w:lang w:eastAsia="zh-CN"/>
              </w:rPr>
              <w:t>。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>
      <w:pPr>
        <w:spacing w:line="120" w:lineRule="atLeast"/>
        <w:outlineLvl w:val="0"/>
        <w:rPr>
          <w:rFonts w:hint="eastAsia" w:ascii="宋体" w:hAnsi="宋体"/>
          <w:b/>
          <w:sz w:val="28"/>
          <w:szCs w:val="28"/>
        </w:rPr>
      </w:pPr>
    </w:p>
    <w:p>
      <w:pPr>
        <w:tabs>
          <w:tab w:val="left" w:pos="3990"/>
        </w:tabs>
        <w:spacing w:line="60" w:lineRule="atLeas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【报名须知】</w:t>
      </w:r>
      <w:r>
        <w:rPr>
          <w:rFonts w:ascii="宋体" w:hAnsi="宋体"/>
          <w:b/>
          <w:sz w:val="28"/>
          <w:szCs w:val="28"/>
        </w:rPr>
        <w:tab/>
      </w:r>
    </w:p>
    <w:p>
      <w:pPr>
        <w:spacing w:line="276" w:lineRule="auto"/>
        <w:ind w:firstLine="236" w:firstLineChars="98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学习期限：</w:t>
      </w:r>
      <w:r>
        <w:rPr>
          <w:rFonts w:hint="eastAsia" w:ascii="宋体" w:hAnsi="宋体"/>
          <w:sz w:val="24"/>
        </w:rPr>
        <w:t>一年，每两个月集中授课一次，每次4-6天，共6次完成总计28天</w:t>
      </w:r>
    </w:p>
    <w:p>
      <w:pPr>
        <w:spacing w:line="276" w:lineRule="auto"/>
        <w:ind w:firstLine="236" w:firstLineChars="98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招生对象：</w:t>
      </w:r>
      <w:r>
        <w:rPr>
          <w:rFonts w:hint="eastAsia" w:ascii="宋体" w:hAnsi="宋体"/>
          <w:sz w:val="24"/>
        </w:rPr>
        <w:t>1、医疗健康产业董事长、总裁、院长；2、医疗投资机构合伙人、投资人；</w:t>
      </w:r>
    </w:p>
    <w:p>
      <w:pPr>
        <w:spacing w:line="276" w:lineRule="auto"/>
        <w:ind w:firstLine="235" w:firstLineChars="9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3、有志于投资医疗健康产业的企业家、投资人等</w:t>
      </w:r>
    </w:p>
    <w:p>
      <w:pPr>
        <w:spacing w:line="276" w:lineRule="auto"/>
        <w:ind w:firstLine="236" w:firstLineChars="98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名    额：</w:t>
      </w:r>
      <w:r>
        <w:rPr>
          <w:rFonts w:hint="eastAsia" w:ascii="宋体" w:hAnsi="宋体"/>
          <w:sz w:val="24"/>
        </w:rPr>
        <w:t>每期限招50人，额满为止</w:t>
      </w:r>
    </w:p>
    <w:p>
      <w:pPr>
        <w:spacing w:line="276" w:lineRule="auto"/>
        <w:ind w:firstLine="236" w:firstLineChars="98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开班时间：H0</w:t>
      </w:r>
      <w:r>
        <w:rPr>
          <w:rFonts w:hint="eastAsia" w:ascii="宋体" w:hAnsi="宋体"/>
          <w:b/>
          <w:sz w:val="24"/>
          <w:lang w:val="en-US" w:eastAsia="zh-CN"/>
        </w:rPr>
        <w:t xml:space="preserve">7 </w:t>
      </w:r>
      <w:r>
        <w:rPr>
          <w:rFonts w:hint="eastAsia" w:ascii="宋体" w:hAnsi="宋体"/>
          <w:sz w:val="24"/>
        </w:rPr>
        <w:t>201</w:t>
      </w:r>
      <w:r>
        <w:rPr>
          <w:rFonts w:hint="eastAsia" w:ascii="宋体" w:hAnsi="宋体"/>
          <w:sz w:val="24"/>
          <w:lang w:val="en-US" w:eastAsia="zh-CN"/>
        </w:rPr>
        <w:t>9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8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22</w:t>
      </w:r>
      <w:r>
        <w:rPr>
          <w:rFonts w:hint="eastAsia" w:ascii="宋体" w:hAnsi="宋体"/>
          <w:sz w:val="24"/>
        </w:rPr>
        <w:t>日</w:t>
      </w:r>
    </w:p>
    <w:p>
      <w:pPr>
        <w:spacing w:line="276" w:lineRule="auto"/>
        <w:ind w:firstLine="236" w:firstLineChars="98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上课地点：</w:t>
      </w:r>
      <w:r>
        <w:rPr>
          <w:rFonts w:hint="eastAsia" w:ascii="宋体" w:hAnsi="宋体"/>
          <w:sz w:val="24"/>
        </w:rPr>
        <w:t>北京、杭州、香港、日本</w:t>
      </w:r>
    </w:p>
    <w:p>
      <w:pPr>
        <w:spacing w:line="276" w:lineRule="auto"/>
        <w:ind w:left="1444" w:leftChars="114" w:hanging="1205" w:hangingChars="500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学习费用：</w:t>
      </w:r>
      <w:r>
        <w:rPr>
          <w:rFonts w:hint="eastAsia" w:ascii="宋体" w:hAnsi="宋体"/>
          <w:sz w:val="24"/>
        </w:rPr>
        <w:t>人民币</w:t>
      </w:r>
      <w:r>
        <w:rPr>
          <w:rFonts w:hint="eastAsia" w:ascii="宋体" w:hAnsi="宋体"/>
          <w:sz w:val="24"/>
          <w:lang w:val="en-US" w:eastAsia="zh-CN"/>
        </w:rPr>
        <w:t>11</w:t>
      </w:r>
      <w:r>
        <w:rPr>
          <w:rFonts w:hint="eastAsia" w:ascii="宋体" w:hAnsi="宋体"/>
          <w:sz w:val="24"/>
        </w:rPr>
        <w:t>.</w:t>
      </w:r>
      <w:r>
        <w:rPr>
          <w:rFonts w:hint="eastAsia" w:ascii="宋体" w:hAnsi="宋体"/>
          <w:sz w:val="24"/>
          <w:lang w:val="en-US" w:eastAsia="zh-CN"/>
        </w:rPr>
        <w:t>9</w:t>
      </w:r>
      <w:r>
        <w:rPr>
          <w:rFonts w:hint="eastAsia" w:ascii="宋体" w:hAnsi="宋体"/>
          <w:sz w:val="24"/>
        </w:rPr>
        <w:t>万元/人，学习期间学员交通食宿自理</w:t>
      </w:r>
      <w:r>
        <w:rPr>
          <w:rFonts w:hint="eastAsia" w:ascii="宋体" w:hAnsi="宋体"/>
          <w:sz w:val="24"/>
          <w:lang w:eastAsia="zh-CN"/>
        </w:rPr>
        <w:t>（午餐、水果、茶水由商学院免费提供）</w:t>
      </w:r>
    </w:p>
    <w:p>
      <w:pPr>
        <w:spacing w:line="276" w:lineRule="auto"/>
        <w:ind w:firstLine="236" w:firstLineChars="98"/>
        <w:rPr>
          <w:rFonts w:hint="eastAsia"/>
          <w:sz w:val="24"/>
        </w:rPr>
      </w:pPr>
      <w:r>
        <w:rPr>
          <w:rFonts w:hint="eastAsia" w:ascii="宋体" w:hAnsi="宋体"/>
          <w:b/>
          <w:sz w:val="24"/>
        </w:rPr>
        <w:t>证书发放：</w:t>
      </w:r>
      <w:r>
        <w:rPr>
          <w:rFonts w:hint="eastAsia" w:ascii="宋体" w:hAnsi="宋体"/>
          <w:sz w:val="24"/>
        </w:rPr>
        <w:t>颁发商学院结业证书</w:t>
      </w:r>
    </w:p>
    <w:p>
      <w:pPr>
        <w:spacing w:line="276" w:lineRule="auto"/>
        <w:ind w:firstLine="236" w:firstLineChars="98"/>
        <w:rPr>
          <w:rFonts w:hint="eastAsia" w:ascii="宋体" w:hAnsi="宋体"/>
          <w:b/>
          <w:color w:val="C0504D"/>
          <w:sz w:val="44"/>
          <w:szCs w:val="44"/>
        </w:rPr>
      </w:pPr>
      <w:r>
        <w:rPr>
          <w:rFonts w:hint="eastAsia" w:ascii="宋体" w:hAnsi="宋体"/>
          <w:b/>
          <w:sz w:val="24"/>
        </w:rPr>
        <w:t>联 系 人：</w:t>
      </w:r>
      <w:r>
        <w:rPr>
          <w:rFonts w:hint="eastAsia"/>
          <w:lang w:val="en-US" w:eastAsia="zh-CN"/>
        </w:rPr>
        <w:t xml:space="preserve">13439064501（同微信）   陈老师     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"http://www.gototsinghua.org.cn"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15"/>
          <w:rFonts w:hint="eastAsia"/>
          <w:lang w:val="en-US" w:eastAsia="zh-CN"/>
        </w:rPr>
        <w:t>www.gototsinghua.org.cn</w:t>
      </w:r>
      <w:r>
        <w:rPr>
          <w:rFonts w:hint="eastAsia"/>
          <w:lang w:val="en-US" w:eastAsia="zh-CN"/>
        </w:rPr>
        <w:fldChar w:fldCharType="end"/>
      </w:r>
      <w:bookmarkStart w:id="8" w:name="_GoBack"/>
      <w:bookmarkEnd w:id="8"/>
      <w:r>
        <w:rPr>
          <w:rFonts w:hint="eastAsia" w:ascii="宋体" w:hAnsi="宋体"/>
          <w:b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b/>
          <w:sz w:val="24"/>
        </w:rPr>
        <w:t xml:space="preserve">                       </w:t>
      </w:r>
    </w:p>
    <w:p>
      <w:pPr>
        <w:spacing w:line="60" w:lineRule="atLeast"/>
        <w:rPr>
          <w:rFonts w:hint="eastAsia" w:ascii="宋体" w:hAnsi="宋体"/>
          <w:b/>
          <w:color w:val="C0504D"/>
          <w:sz w:val="44"/>
          <w:szCs w:val="44"/>
        </w:rPr>
      </w:pPr>
    </w:p>
    <w:p>
      <w:pPr>
        <w:spacing w:line="276" w:lineRule="auto"/>
        <w:ind w:firstLine="235" w:firstLineChars="98"/>
        <w:rPr>
          <w:rFonts w:hint="eastAsia" w:ascii="宋体" w:hAnsi="宋体"/>
          <w:color w:val="3E9C49"/>
          <w:sz w:val="24"/>
        </w:rPr>
      </w:pPr>
    </w:p>
    <w:sectPr>
      <w:headerReference r:id="rId3" w:type="default"/>
      <w:footerReference r:id="rId4" w:type="default"/>
      <w:pgSz w:w="11906" w:h="16838"/>
      <w:pgMar w:top="1021" w:right="720" w:bottom="720" w:left="720" w:header="624" w:footer="51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630" w:firstLineChars="350"/>
    </w:pPr>
    <w:r>
      <w:rPr>
        <w:rFonts w:hint="eastAsia"/>
      </w:rPr>
      <w:t xml:space="preserve">                                                                       中国医疗资本总裁高级研修班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1980"/>
        <w:tab w:val="clear" w:pos="4153"/>
        <w:tab w:val="clear" w:pos="8306"/>
      </w:tabs>
      <w:jc w:val="both"/>
      <w:rPr>
        <w:rFonts w:ascii="宋体" w:hAnsi="宋体"/>
        <w:sz w:val="21"/>
        <w:szCs w:val="21"/>
      </w:rPr>
    </w:pPr>
    <w:r>
      <w:rPr>
        <w:rFonts w:ascii="宋体" w:hAnsi="宋体"/>
        <w:sz w:val="21"/>
        <w:szCs w:val="21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74295</wp:posOffset>
          </wp:positionH>
          <wp:positionV relativeFrom="paragraph">
            <wp:posOffset>-386080</wp:posOffset>
          </wp:positionV>
          <wp:extent cx="1779270" cy="581025"/>
          <wp:effectExtent l="0" t="0" r="0" b="3175"/>
          <wp:wrapNone/>
          <wp:docPr id="2" name="图片 3" descr="C:\Users\清大剑桥商学院--教学专员\Desktop\微信图片_20190514112008_副本.png微信图片_20190514112008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3" descr="C:\Users\清大剑桥商学院--教学专员\Desktop\微信图片_20190514112008_副本.png微信图片_20190514112008_副本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927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宋体" w:hAnsi="宋体"/>
        <w:sz w:val="21"/>
        <w:szCs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4853305</wp:posOffset>
          </wp:positionH>
          <wp:positionV relativeFrom="paragraph">
            <wp:posOffset>-288925</wp:posOffset>
          </wp:positionV>
          <wp:extent cx="1734820" cy="438150"/>
          <wp:effectExtent l="0" t="0" r="5080" b="6350"/>
          <wp:wrapNone/>
          <wp:docPr id="1" name="图片 2" descr="328883967953802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32888396795380226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3482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宋体" w:hAnsi="宋体"/>
        <w:sz w:val="21"/>
        <w:szCs w:val="21"/>
      </w:rPr>
      <w:t xml:space="preserve">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E09CD"/>
    <w:multiLevelType w:val="multilevel"/>
    <w:tmpl w:val="6DEE09CD"/>
    <w:lvl w:ilvl="0" w:tentative="0">
      <w:start w:val="1"/>
      <w:numFmt w:val="bullet"/>
      <w:lvlText w:val=""/>
      <w:lvlJc w:val="left"/>
      <w:pPr>
        <w:tabs>
          <w:tab w:val="left" w:pos="0"/>
        </w:tabs>
        <w:ind w:left="284" w:hanging="284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104"/>
    <w:rsid w:val="0002310B"/>
    <w:rsid w:val="00026E44"/>
    <w:rsid w:val="00051847"/>
    <w:rsid w:val="00084FDE"/>
    <w:rsid w:val="000861A3"/>
    <w:rsid w:val="000A21FC"/>
    <w:rsid w:val="000A2AE8"/>
    <w:rsid w:val="000A43D3"/>
    <w:rsid w:val="000A4DEB"/>
    <w:rsid w:val="000C2399"/>
    <w:rsid w:val="000F782E"/>
    <w:rsid w:val="001033B1"/>
    <w:rsid w:val="00115CA1"/>
    <w:rsid w:val="00124C02"/>
    <w:rsid w:val="00141103"/>
    <w:rsid w:val="001536BF"/>
    <w:rsid w:val="00162042"/>
    <w:rsid w:val="00166372"/>
    <w:rsid w:val="00173096"/>
    <w:rsid w:val="001842A4"/>
    <w:rsid w:val="001A0A4B"/>
    <w:rsid w:val="001A4F29"/>
    <w:rsid w:val="001B7E2D"/>
    <w:rsid w:val="001C5132"/>
    <w:rsid w:val="001E2C7A"/>
    <w:rsid w:val="001E66FC"/>
    <w:rsid w:val="001E6EE3"/>
    <w:rsid w:val="001F4C4D"/>
    <w:rsid w:val="00217DEA"/>
    <w:rsid w:val="00232494"/>
    <w:rsid w:val="00235980"/>
    <w:rsid w:val="0023639C"/>
    <w:rsid w:val="00252F97"/>
    <w:rsid w:val="0026725B"/>
    <w:rsid w:val="00272C19"/>
    <w:rsid w:val="00277E39"/>
    <w:rsid w:val="00295A08"/>
    <w:rsid w:val="002A07A8"/>
    <w:rsid w:val="002A0EF0"/>
    <w:rsid w:val="002A237F"/>
    <w:rsid w:val="002A6303"/>
    <w:rsid w:val="002B3FE5"/>
    <w:rsid w:val="002D06FE"/>
    <w:rsid w:val="002D0E81"/>
    <w:rsid w:val="002F37BD"/>
    <w:rsid w:val="00306E31"/>
    <w:rsid w:val="00317F01"/>
    <w:rsid w:val="00320373"/>
    <w:rsid w:val="00344161"/>
    <w:rsid w:val="0034772E"/>
    <w:rsid w:val="003569B8"/>
    <w:rsid w:val="00392F3F"/>
    <w:rsid w:val="00396DB4"/>
    <w:rsid w:val="003A7088"/>
    <w:rsid w:val="003C3D5A"/>
    <w:rsid w:val="003D3B0D"/>
    <w:rsid w:val="004079C2"/>
    <w:rsid w:val="0041278C"/>
    <w:rsid w:val="0041571F"/>
    <w:rsid w:val="0042048F"/>
    <w:rsid w:val="00444D19"/>
    <w:rsid w:val="00447294"/>
    <w:rsid w:val="004509D7"/>
    <w:rsid w:val="00465A9B"/>
    <w:rsid w:val="0046667B"/>
    <w:rsid w:val="00474E44"/>
    <w:rsid w:val="00480302"/>
    <w:rsid w:val="00483E44"/>
    <w:rsid w:val="00491BBC"/>
    <w:rsid w:val="00497D17"/>
    <w:rsid w:val="004A091C"/>
    <w:rsid w:val="004C6677"/>
    <w:rsid w:val="004C7358"/>
    <w:rsid w:val="004D6195"/>
    <w:rsid w:val="004E16A1"/>
    <w:rsid w:val="00500D40"/>
    <w:rsid w:val="00502058"/>
    <w:rsid w:val="00512651"/>
    <w:rsid w:val="0052152E"/>
    <w:rsid w:val="00542433"/>
    <w:rsid w:val="0054292B"/>
    <w:rsid w:val="00563EE9"/>
    <w:rsid w:val="00566B16"/>
    <w:rsid w:val="00567677"/>
    <w:rsid w:val="00571AC0"/>
    <w:rsid w:val="00586A11"/>
    <w:rsid w:val="005A5C9D"/>
    <w:rsid w:val="005D72F1"/>
    <w:rsid w:val="005F46A0"/>
    <w:rsid w:val="0061271F"/>
    <w:rsid w:val="00614130"/>
    <w:rsid w:val="006335EE"/>
    <w:rsid w:val="006353CC"/>
    <w:rsid w:val="00655861"/>
    <w:rsid w:val="00676108"/>
    <w:rsid w:val="00681B8F"/>
    <w:rsid w:val="006842E1"/>
    <w:rsid w:val="006923D5"/>
    <w:rsid w:val="00696512"/>
    <w:rsid w:val="006C4665"/>
    <w:rsid w:val="00723972"/>
    <w:rsid w:val="007541D2"/>
    <w:rsid w:val="0075534E"/>
    <w:rsid w:val="00774886"/>
    <w:rsid w:val="00793EBC"/>
    <w:rsid w:val="007A01AC"/>
    <w:rsid w:val="007A5ADB"/>
    <w:rsid w:val="007B2763"/>
    <w:rsid w:val="007F5BD5"/>
    <w:rsid w:val="00820B92"/>
    <w:rsid w:val="00826801"/>
    <w:rsid w:val="00827396"/>
    <w:rsid w:val="008343EA"/>
    <w:rsid w:val="00841E2D"/>
    <w:rsid w:val="008515D8"/>
    <w:rsid w:val="00853CBB"/>
    <w:rsid w:val="00857277"/>
    <w:rsid w:val="00863505"/>
    <w:rsid w:val="008648CE"/>
    <w:rsid w:val="008B4193"/>
    <w:rsid w:val="008C7E7C"/>
    <w:rsid w:val="008F3755"/>
    <w:rsid w:val="008F55CE"/>
    <w:rsid w:val="009173D0"/>
    <w:rsid w:val="009265B0"/>
    <w:rsid w:val="00927114"/>
    <w:rsid w:val="00933565"/>
    <w:rsid w:val="00936026"/>
    <w:rsid w:val="00943453"/>
    <w:rsid w:val="00953EB6"/>
    <w:rsid w:val="00972363"/>
    <w:rsid w:val="009C5F50"/>
    <w:rsid w:val="009D33C9"/>
    <w:rsid w:val="009D753D"/>
    <w:rsid w:val="009E075D"/>
    <w:rsid w:val="009E5C8B"/>
    <w:rsid w:val="009F0904"/>
    <w:rsid w:val="009F7B6B"/>
    <w:rsid w:val="00A400D1"/>
    <w:rsid w:val="00A41F81"/>
    <w:rsid w:val="00A55AB1"/>
    <w:rsid w:val="00A65263"/>
    <w:rsid w:val="00B07326"/>
    <w:rsid w:val="00B20636"/>
    <w:rsid w:val="00B27D6A"/>
    <w:rsid w:val="00B34AD8"/>
    <w:rsid w:val="00B658A8"/>
    <w:rsid w:val="00B720AE"/>
    <w:rsid w:val="00B72481"/>
    <w:rsid w:val="00B829C2"/>
    <w:rsid w:val="00B9181D"/>
    <w:rsid w:val="00BA561F"/>
    <w:rsid w:val="00BC0316"/>
    <w:rsid w:val="00BC03C2"/>
    <w:rsid w:val="00BF371E"/>
    <w:rsid w:val="00C008DF"/>
    <w:rsid w:val="00C01F55"/>
    <w:rsid w:val="00C04771"/>
    <w:rsid w:val="00C377AC"/>
    <w:rsid w:val="00C60369"/>
    <w:rsid w:val="00CA2802"/>
    <w:rsid w:val="00CA7496"/>
    <w:rsid w:val="00CE6D52"/>
    <w:rsid w:val="00CF1BD9"/>
    <w:rsid w:val="00D00B06"/>
    <w:rsid w:val="00D14C36"/>
    <w:rsid w:val="00D33690"/>
    <w:rsid w:val="00D55BD2"/>
    <w:rsid w:val="00D61527"/>
    <w:rsid w:val="00D711B5"/>
    <w:rsid w:val="00D71517"/>
    <w:rsid w:val="00D743ED"/>
    <w:rsid w:val="00D82955"/>
    <w:rsid w:val="00D91AC3"/>
    <w:rsid w:val="00D92818"/>
    <w:rsid w:val="00D96C89"/>
    <w:rsid w:val="00E03C54"/>
    <w:rsid w:val="00E25A58"/>
    <w:rsid w:val="00E30FAF"/>
    <w:rsid w:val="00E314F4"/>
    <w:rsid w:val="00E315DE"/>
    <w:rsid w:val="00E4594B"/>
    <w:rsid w:val="00E65B1B"/>
    <w:rsid w:val="00E741CF"/>
    <w:rsid w:val="00E85B7B"/>
    <w:rsid w:val="00E93E2E"/>
    <w:rsid w:val="00EA45EB"/>
    <w:rsid w:val="00EC1009"/>
    <w:rsid w:val="00EC7426"/>
    <w:rsid w:val="00ED6DB5"/>
    <w:rsid w:val="00F02B82"/>
    <w:rsid w:val="00F05C32"/>
    <w:rsid w:val="00F405DC"/>
    <w:rsid w:val="00F76995"/>
    <w:rsid w:val="00F9019E"/>
    <w:rsid w:val="00F9078E"/>
    <w:rsid w:val="00F94EEA"/>
    <w:rsid w:val="00FB35F0"/>
    <w:rsid w:val="00FB5549"/>
    <w:rsid w:val="00FD0EEC"/>
    <w:rsid w:val="00FD29D7"/>
    <w:rsid w:val="00FD4BAC"/>
    <w:rsid w:val="00FF00A4"/>
    <w:rsid w:val="047B1E0C"/>
    <w:rsid w:val="04DD4021"/>
    <w:rsid w:val="04F21F98"/>
    <w:rsid w:val="05421BEB"/>
    <w:rsid w:val="05ED40D4"/>
    <w:rsid w:val="0A6479E9"/>
    <w:rsid w:val="0BFB5026"/>
    <w:rsid w:val="0CB225AF"/>
    <w:rsid w:val="0DCE25FD"/>
    <w:rsid w:val="0DD85177"/>
    <w:rsid w:val="0E5117B8"/>
    <w:rsid w:val="0E8E5209"/>
    <w:rsid w:val="105D7200"/>
    <w:rsid w:val="133B24EE"/>
    <w:rsid w:val="1472276D"/>
    <w:rsid w:val="167C0633"/>
    <w:rsid w:val="17171246"/>
    <w:rsid w:val="174F2F58"/>
    <w:rsid w:val="195D3277"/>
    <w:rsid w:val="19FD4920"/>
    <w:rsid w:val="1ADE5FCF"/>
    <w:rsid w:val="1D8D3800"/>
    <w:rsid w:val="1DE44BD5"/>
    <w:rsid w:val="1EFE681F"/>
    <w:rsid w:val="1F0F53C6"/>
    <w:rsid w:val="206246C2"/>
    <w:rsid w:val="20B41308"/>
    <w:rsid w:val="21985746"/>
    <w:rsid w:val="22C72509"/>
    <w:rsid w:val="2A103C62"/>
    <w:rsid w:val="2E225DC8"/>
    <w:rsid w:val="2E244A78"/>
    <w:rsid w:val="2EAB2ECA"/>
    <w:rsid w:val="2FAB2B87"/>
    <w:rsid w:val="30150A2E"/>
    <w:rsid w:val="309822C0"/>
    <w:rsid w:val="31756A05"/>
    <w:rsid w:val="32C92BE2"/>
    <w:rsid w:val="33A5209C"/>
    <w:rsid w:val="36576889"/>
    <w:rsid w:val="372205EE"/>
    <w:rsid w:val="39295680"/>
    <w:rsid w:val="3AED5C33"/>
    <w:rsid w:val="3C006BDD"/>
    <w:rsid w:val="3C5541C5"/>
    <w:rsid w:val="3CEB541E"/>
    <w:rsid w:val="3DB3118F"/>
    <w:rsid w:val="3DBC62F5"/>
    <w:rsid w:val="3E4C2A3E"/>
    <w:rsid w:val="3E710CDE"/>
    <w:rsid w:val="3F160AB9"/>
    <w:rsid w:val="42FF2495"/>
    <w:rsid w:val="440D220D"/>
    <w:rsid w:val="480A1EE6"/>
    <w:rsid w:val="4A542965"/>
    <w:rsid w:val="4A9E255D"/>
    <w:rsid w:val="4AA158B3"/>
    <w:rsid w:val="4C194CBF"/>
    <w:rsid w:val="4CC0293F"/>
    <w:rsid w:val="4CC33022"/>
    <w:rsid w:val="513B0D33"/>
    <w:rsid w:val="533D0290"/>
    <w:rsid w:val="5782033B"/>
    <w:rsid w:val="58DB3DE6"/>
    <w:rsid w:val="5A24391F"/>
    <w:rsid w:val="5A824F87"/>
    <w:rsid w:val="5B1E367D"/>
    <w:rsid w:val="5BC43125"/>
    <w:rsid w:val="5C1F54B0"/>
    <w:rsid w:val="5DC403C3"/>
    <w:rsid w:val="60477ABE"/>
    <w:rsid w:val="60701A84"/>
    <w:rsid w:val="61E644A2"/>
    <w:rsid w:val="626A1912"/>
    <w:rsid w:val="627820DD"/>
    <w:rsid w:val="630F794C"/>
    <w:rsid w:val="63B67778"/>
    <w:rsid w:val="63E35EA8"/>
    <w:rsid w:val="658A4B4F"/>
    <w:rsid w:val="65A65109"/>
    <w:rsid w:val="664944B0"/>
    <w:rsid w:val="6A600760"/>
    <w:rsid w:val="6B8C5737"/>
    <w:rsid w:val="6C056D57"/>
    <w:rsid w:val="6C6A6BAE"/>
    <w:rsid w:val="6CE6084F"/>
    <w:rsid w:val="6E090673"/>
    <w:rsid w:val="6E824AB9"/>
    <w:rsid w:val="72694CB4"/>
    <w:rsid w:val="736D1AE9"/>
    <w:rsid w:val="73B251F4"/>
    <w:rsid w:val="740916FF"/>
    <w:rsid w:val="76C92294"/>
    <w:rsid w:val="771B4D7D"/>
    <w:rsid w:val="7755091C"/>
    <w:rsid w:val="7808734D"/>
    <w:rsid w:val="782D5A11"/>
    <w:rsid w:val="782E6C9F"/>
    <w:rsid w:val="79812F6D"/>
    <w:rsid w:val="79D37B72"/>
    <w:rsid w:val="7A0D685F"/>
    <w:rsid w:val="7A7140DF"/>
    <w:rsid w:val="7BF36A70"/>
    <w:rsid w:val="7C797AAB"/>
    <w:rsid w:val="7ED064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uiPriority w:val="0"/>
  </w:style>
  <w:style w:type="table" w:default="1" w:styleId="9">
    <w:name w:val="Normal Table"/>
    <w:unhideWhenUsed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2"/>
    <w:uiPriority w:val="0"/>
    <w:pPr>
      <w:spacing w:after="120" w:afterLines="0"/>
    </w:pPr>
  </w:style>
  <w:style w:type="paragraph" w:styleId="3">
    <w:name w:val="Body Text Indent"/>
    <w:basedOn w:val="1"/>
    <w:link w:val="18"/>
    <w:uiPriority w:val="0"/>
    <w:pPr>
      <w:spacing w:after="120"/>
      <w:ind w:left="420" w:leftChars="200"/>
    </w:pPr>
  </w:style>
  <w:style w:type="paragraph" w:styleId="4">
    <w:name w:val="Balloon Text"/>
    <w:basedOn w:val="1"/>
    <w:link w:val="20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9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beforeLines="0" w:after="240" w:afterLines="0"/>
      <w:jc w:val="left"/>
    </w:pPr>
    <w:rPr>
      <w:rFonts w:ascii="Courier New" w:hAnsi="Courier New" w:cs="Courier New"/>
      <w:kern w:val="0"/>
      <w:sz w:val="24"/>
    </w:rPr>
  </w:style>
  <w:style w:type="paragraph" w:styleId="8">
    <w:name w:val="Normal (Web)"/>
    <w:basedOn w:val="1"/>
    <w:uiPriority w:val="99"/>
    <w:pPr>
      <w:widowControl/>
      <w:spacing w:after="210" w:afterLines="0"/>
      <w:jc w:val="left"/>
    </w:pPr>
    <w:rPr>
      <w:rFonts w:ascii="宋体" w:hAnsi="宋体" w:cs="宋体"/>
      <w:kern w:val="0"/>
      <w:sz w:val="24"/>
    </w:rPr>
  </w:style>
  <w:style w:type="table" w:styleId="10">
    <w:name w:val="Light Shading Accent 4"/>
    <w:basedOn w:val="9"/>
    <w:uiPriority w:val="60"/>
    <w:rPr>
      <w:color w:val="5F497A"/>
    </w:rPr>
    <w:tblPr>
      <w:tblStyle w:val="9"/>
      <w:tblStyleRowBandSize w:val="1"/>
      <w:tblStyleColBandSize w:val="1"/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>
        <w:tblStyle w:val="9"/>
      </w:tblPr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9"/>
      </w:tblPr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Style w:val="9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8E8"/>
      </w:tcPr>
    </w:tblStylePr>
    <w:tblStylePr w:type="band1Horz">
      <w:tblPr>
        <w:tblStyle w:val="9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8E8"/>
      </w:tcPr>
    </w:tblStylePr>
  </w:style>
  <w:style w:type="table" w:styleId="11">
    <w:name w:val="Medium Grid 1 Accent 2"/>
    <w:basedOn w:val="9"/>
    <w:uiPriority w:val="67"/>
    <w:tblPr>
      <w:tblStyle w:val="9"/>
      <w:tblStyleRowBandSize w:val="1"/>
      <w:tblStyleColBandSize w:val="1"/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>
        <w:tblStyle w:val="9"/>
      </w:tblPr>
      <w:tcPr>
        <w:tcBorders>
          <w:top w:val="single" w:color="CF7B79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Style w:val="9"/>
      </w:tblPr>
      <w:tcPr>
        <w:shd w:val="clear" w:color="auto" w:fill="DFA7A6"/>
      </w:tcPr>
    </w:tblStylePr>
    <w:tblStylePr w:type="band1Horz">
      <w:tblPr>
        <w:tblStyle w:val="9"/>
      </w:tblPr>
      <w:tcPr>
        <w:shd w:val="clear" w:color="auto" w:fill="DFA7A6"/>
      </w:tcPr>
    </w:tblStylePr>
  </w:style>
  <w:style w:type="table" w:styleId="12">
    <w:name w:val="Medium Grid 1 Accent 5"/>
    <w:basedOn w:val="9"/>
    <w:uiPriority w:val="67"/>
    <w:tblPr>
      <w:tblStyle w:val="9"/>
      <w:tblStyleRowBandSize w:val="1"/>
      <w:tblStyleColBandSize w:val="1"/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>
        <w:tblStyle w:val="9"/>
      </w:tblPr>
      <w:tcPr>
        <w:tcBorders>
          <w:top w:val="single" w:color="78C0D4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Style w:val="9"/>
      </w:tblPr>
      <w:tcPr>
        <w:shd w:val="clear" w:color="auto" w:fill="A5D5E2"/>
      </w:tcPr>
    </w:tblStylePr>
    <w:tblStylePr w:type="band1Horz">
      <w:tblPr>
        <w:tblStyle w:val="9"/>
      </w:tblPr>
      <w:tcPr>
        <w:shd w:val="clear" w:color="auto" w:fill="A5D5E2"/>
      </w:tcPr>
    </w:tblStylePr>
  </w:style>
  <w:style w:type="character" w:styleId="14">
    <w:name w:val="Strong"/>
    <w:qFormat/>
    <w:uiPriority w:val="0"/>
    <w:rPr>
      <w:b/>
      <w:bCs/>
    </w:rPr>
  </w:style>
  <w:style w:type="character" w:styleId="15">
    <w:name w:val="Hyperlink"/>
    <w:basedOn w:val="13"/>
    <w:uiPriority w:val="0"/>
    <w:rPr>
      <w:color w:val="0000FF"/>
      <w:u w:val="single"/>
    </w:rPr>
  </w:style>
  <w:style w:type="character" w:customStyle="1" w:styleId="16">
    <w:name w:val="question-title2"/>
    <w:basedOn w:val="13"/>
    <w:uiPriority w:val="0"/>
  </w:style>
  <w:style w:type="character" w:customStyle="1" w:styleId="17">
    <w:name w:val="apple-style-span"/>
    <w:basedOn w:val="13"/>
    <w:uiPriority w:val="0"/>
  </w:style>
  <w:style w:type="character" w:customStyle="1" w:styleId="18">
    <w:name w:val="正文文本缩进 Char"/>
    <w:link w:val="3"/>
    <w:uiPriority w:val="0"/>
    <w:rPr>
      <w:kern w:val="2"/>
      <w:sz w:val="21"/>
      <w:szCs w:val="24"/>
    </w:rPr>
  </w:style>
  <w:style w:type="character" w:customStyle="1" w:styleId="19">
    <w:name w:val="HTML 预设格式 Char"/>
    <w:link w:val="7"/>
    <w:uiPriority w:val="99"/>
    <w:rPr>
      <w:rFonts w:ascii="Courier New" w:hAnsi="Courier New" w:cs="Courier New"/>
      <w:sz w:val="24"/>
      <w:szCs w:val="24"/>
    </w:rPr>
  </w:style>
  <w:style w:type="character" w:customStyle="1" w:styleId="20">
    <w:name w:val="批注框文本 Char"/>
    <w:link w:val="4"/>
    <w:uiPriority w:val="0"/>
    <w:rPr>
      <w:kern w:val="2"/>
      <w:sz w:val="18"/>
      <w:szCs w:val="18"/>
    </w:rPr>
  </w:style>
  <w:style w:type="character" w:customStyle="1" w:styleId="21">
    <w:name w:val="页眉 Char"/>
    <w:link w:val="6"/>
    <w:uiPriority w:val="0"/>
    <w:rPr>
      <w:kern w:val="2"/>
      <w:sz w:val="18"/>
      <w:szCs w:val="18"/>
    </w:rPr>
  </w:style>
  <w:style w:type="character" w:customStyle="1" w:styleId="22">
    <w:name w:val="正文文本 Char"/>
    <w:link w:val="2"/>
    <w:uiPriority w:val="0"/>
    <w:rPr>
      <w:kern w:val="2"/>
      <w:sz w:val="21"/>
      <w:szCs w:val="24"/>
    </w:rPr>
  </w:style>
  <w:style w:type="character" w:customStyle="1" w:styleId="23">
    <w:name w:val="apple-converted-space"/>
    <w:basedOn w:val="13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354</Words>
  <Characters>2022</Characters>
  <Lines>16</Lines>
  <Paragraphs>4</Paragraphs>
  <TotalTime>2</TotalTime>
  <ScaleCrop>false</ScaleCrop>
  <LinksUpToDate>false</LinksUpToDate>
  <CharactersWithSpaces>2372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2016-03-02T03:51:00Z</dcterms:created>
  <dc:creator>微软用户</dc:creator>
  <cp:lastModifiedBy>清华总裁班陈伟宏</cp:lastModifiedBy>
  <cp:lastPrinted>2017-08-21T09:54:00Z</cp:lastPrinted>
  <dcterms:modified xsi:type="dcterms:W3CDTF">2020-04-06T16:48:39Z</dcterms:modified>
  <dc:title>清华大学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