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hint="eastAsia" w:ascii="方正大标宋简体" w:eastAsia="方正大标宋简体"/>
          <w:sz w:val="44"/>
          <w:szCs w:val="44"/>
        </w:rPr>
        <w:t>道口资本后EMBA董事长高端项目</w:t>
      </w:r>
    </w:p>
    <w:p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hint="eastAsia" w:ascii="方正大标宋简体" w:eastAsia="方正大标宋简体"/>
          <w:sz w:val="44"/>
          <w:szCs w:val="44"/>
        </w:rPr>
        <w:t xml:space="preserve">           </w:t>
      </w:r>
      <w:r>
        <w:rPr>
          <w:rFonts w:hint="eastAsia" w:ascii="方正大标宋简体" w:eastAsia="方正大标宋简体"/>
          <w:sz w:val="36"/>
          <w:szCs w:val="36"/>
        </w:rPr>
        <w:t>——新商业领袖培育计划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培养目标：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既有资本运作广度又具商业思想深度的企业投资家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 xml:space="preserve">课程使命： 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新商业领袖=资本运作×商业创新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塑造核心能力=赚钱能力×值钱能力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课程逻辑：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双轮内外兼修课程体系，既赚钱又值钱落地系统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ascii="华文隶书" w:hAnsi="宋体" w:eastAsia="华文隶书"/>
          <w:b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8" w:firstLineChars="62"/>
        <w:rPr>
          <w:rFonts w:ascii="微软雅黑" w:hAnsi="微软雅黑" w:eastAsia="微软雅黑"/>
          <w:color w:val="7030A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32"/>
        </w:rPr>
        <w:t>【项目背景】</w:t>
      </w:r>
    </w:p>
    <w:p>
      <w:pPr>
        <w:pStyle w:val="5"/>
        <w:spacing w:line="345" w:lineRule="atLeast"/>
        <w:ind w:firstLine="6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>
      <w:pPr>
        <w:widowControl/>
        <w:spacing w:before="100" w:beforeAutospacing="1" w:after="100" w:afterAutospacing="1" w:line="345" w:lineRule="atLeast"/>
        <w:ind w:firstLine="480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新商业领袖高端项目依托清华五道口资源，调研已毕业十七期投融资班企业家校友，再度对“资本后E</w:t>
      </w:r>
      <w:r>
        <w:rPr>
          <w:rFonts w:ascii="微软雅黑" w:hAnsi="微软雅黑" w:eastAsia="微软雅黑"/>
          <w:kern w:val="0"/>
          <w:sz w:val="24"/>
          <w:szCs w:val="24"/>
        </w:rPr>
        <w:t>MBA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企业实现价值再造，取势领跑未来。</w:t>
      </w:r>
    </w:p>
    <w:p>
      <w:pPr>
        <w:spacing w:after="156" w:afterLines="50"/>
        <w:ind w:right="525" w:rightChars="250" w:firstLine="0" w:firstLineChars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</w:rPr>
        <w:t>【课程设置】</w:t>
      </w:r>
    </w:p>
    <w:p>
      <w:pPr>
        <w:spacing w:after="156" w:afterLines="50"/>
        <w:ind w:left="525" w:leftChars="250" w:right="525" w:rightChars="250" w:firstLine="1219" w:firstLineChars="506"/>
        <w:jc w:val="left"/>
        <w:rPr>
          <w:rFonts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系统构建+落地辅导+标杆学习+私董研讨</w:t>
      </w:r>
    </w:p>
    <w:tbl>
      <w:tblPr>
        <w:tblStyle w:val="6"/>
        <w:tblW w:w="935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gridSpan w:val="2"/>
          </w:tcPr>
          <w:p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</w:pPr>
            <w:r>
              <w:rPr>
                <w:rFonts w:hint="eastAsia" w:ascii="方正大标宋简体" w:hAnsi="微软雅黑" w:eastAsia="方正大标宋简体"/>
                <w:b/>
                <w:color w:val="8064A2" w:themeColor="accent4"/>
                <w:sz w:val="32"/>
                <w:szCs w:val="32"/>
              </w:rPr>
              <w:t>资本赋能篇-洞悉资本逻辑，赋能价值倍增</w:t>
            </w:r>
            <w:r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模块二：公司金融与投融资决策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1、世界经济格局与金融秩序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2、全球视角下的中国经济与金融发展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3、中国金融体系与金融改革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4、中国货币与财税政策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5、新时代的经济增长与动力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1、财务分析与财务运作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2、财务管理：战略与资本结构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3、企业投融资的</w:t>
            </w:r>
            <w:r>
              <w:rPr>
                <w:rFonts w:hint="eastAsia"/>
              </w:rPr>
              <w:fldChar w:fldCharType="begin"/>
            </w:r>
            <w:r>
              <w:instrText xml:space="preserve"> HYPERLINK "http://www.manaren.com/tag/103/200701209/" \t "_blank"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 w:ascii="STXihei" w:hAnsi="STXihei" w:eastAsia="STXihei" w:cs="宋体"/>
                <w:szCs w:val="21"/>
              </w:rPr>
              <w:t>税收管理</w:t>
            </w:r>
            <w:r>
              <w:rPr>
                <w:rFonts w:hint="eastAsia" w:ascii="STXihei" w:hAnsi="STXihei" w:eastAsia="STXihei" w:cs="宋体"/>
                <w:szCs w:val="21"/>
              </w:rPr>
              <w:fldChar w:fldCharType="end"/>
            </w:r>
            <w:r>
              <w:rPr>
                <w:rFonts w:hint="eastAsia" w:ascii="STXihei" w:hAnsi="STXihei" w:eastAsia="STXihei" w:cs="宋体"/>
                <w:szCs w:val="21"/>
              </w:rPr>
              <w:t>与风险控制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ascii="STXihei" w:hAnsi="STXihei" w:eastAsia="STXihei" w:cs="宋体"/>
                <w:szCs w:val="21"/>
              </w:rPr>
              <w:t>企业价值评估</w:t>
            </w:r>
            <w:r>
              <w:rPr>
                <w:rFonts w:hint="eastAsia" w:ascii="STXihei" w:hAnsi="STXihei" w:eastAsia="STXihei" w:cs="宋体"/>
                <w:szCs w:val="21"/>
              </w:rPr>
              <w:t>与挖掘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5、投资项目2个维度3种方法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559" w:firstLineChars="23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模块四：企业多渠道融资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1、产融思维与企业发展战略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2、产业并购与投资逻辑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3、产融结合的发展路径与模式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4、产业视角下的企业资本战略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ascii="STXihei" w:hAnsi="STXihei" w:eastAsia="STXihei"/>
                <w:szCs w:val="21"/>
              </w:rPr>
              <w:t>产融结合的成败因素与企业特质</w:t>
            </w:r>
          </w:p>
          <w:p>
            <w:pPr>
              <w:ind w:firstLine="420"/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1、中国企业融资模式分析与选择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生态链融资模式与新风口融资模式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/>
                <w:szCs w:val="21"/>
              </w:rPr>
              <w:t>融资前准备与融资工具</w:t>
            </w:r>
            <w:r>
              <w:rPr>
                <w:rFonts w:ascii="STXihei" w:hAnsi="STXihei" w:eastAsia="STXihei"/>
                <w:szCs w:val="21"/>
              </w:rPr>
              <w:t>-</w:t>
            </w:r>
            <w:r>
              <w:rPr>
                <w:rFonts w:hint="eastAsia" w:ascii="STXihei" w:hAnsi="STXihei" w:eastAsia="STXihei"/>
                <w:szCs w:val="21"/>
              </w:rPr>
              <w:t>商业计划书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融资关键技术与法律风险防范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路演逻辑与能力锻造</w:t>
            </w:r>
          </w:p>
          <w:p>
            <w:pPr>
              <w:spacing w:after="156" w:after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模块五：私募股权投资（PE/VC）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模块六：企业上市路径规划与策略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私募基金的募集方法及程序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私募股权投资的项目投资实操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/>
                <w:szCs w:val="21"/>
              </w:rPr>
              <w:t>私募股权投资的管理模式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私募股权投资的退出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私募股权投资的风险防范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上市的地点、时机与方式的优化选择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2、企业上市总体流程与运作框图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3、企业上市前的融资、改制与重组规范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4、企业上市冲刺与实战经验总结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5、科创板红利、未来走势与投融资策略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模块八：企业并购与重组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softHyphen/>
            </w: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企业价值的形成与评估逻辑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估值方法概论与案例实践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ascii="STXihei" w:hAnsi="STXihei" w:eastAsia="STXihei"/>
                <w:szCs w:val="21"/>
              </w:rPr>
              <w:t>PE/VC</w:t>
            </w:r>
            <w:r>
              <w:rPr>
                <w:rFonts w:hint="eastAsia" w:ascii="STXihei" w:hAnsi="STXihei" w:eastAsia="STXihei"/>
                <w:szCs w:val="21"/>
              </w:rPr>
              <w:t>推动企业价值实现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市值管理机制与实践方法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资产证券化概览及案例分享</w:t>
            </w:r>
          </w:p>
          <w:p>
            <w:pPr>
              <w:spacing w:line="360" w:lineRule="auto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 w:cs="Arial"/>
                <w:bCs/>
                <w:color w:val="191919"/>
                <w:szCs w:val="21"/>
              </w:rPr>
              <w:t>并购重组的理论与动因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2、并购方式与操作要点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 w:cs="Arial"/>
                <w:bCs/>
                <w:color w:val="191919"/>
                <w:szCs w:val="21"/>
              </w:rPr>
              <w:t>企业并购融资及分险控制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并购基金实践与产业链融资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并购整合与投后管理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41" w:firstLineChars="183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39" w:firstLineChars="1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模块十：未来趋势行业投资洞察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1、股票投资与债券投资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2、期货投资与期权投资</w:t>
            </w:r>
          </w:p>
          <w:p>
            <w:pPr>
              <w:spacing w:line="360" w:lineRule="auto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3、信托投资与委托投资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4、金融投资的风险管理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5、金融衍生工具应用及风险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1、智能时代的新商业逻辑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2、大数据与人工智能的商业认知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3、工业4.0与智能制造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4、生物制药的产业全息前景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5、科技黎明-新能源与新材料的发展趋势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6、趋势行业投融资决策</w:t>
            </w:r>
          </w:p>
        </w:tc>
      </w:tr>
    </w:tbl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0"/>
          <w:szCs w:val="30"/>
        </w:rPr>
      </w:pPr>
    </w:p>
    <w:tbl>
      <w:tblPr>
        <w:tblStyle w:val="6"/>
        <w:tblW w:w="931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2268"/>
        <w:gridCol w:w="5399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方正大标宋简体" w:hAnsi="宋体" w:eastAsia="方正大标宋简体"/>
                <w:b/>
                <w:sz w:val="32"/>
                <w:szCs w:val="32"/>
              </w:rPr>
            </w:pPr>
            <w:r>
              <w:rPr>
                <w:rFonts w:hint="eastAsia" w:ascii="方正大标宋简体" w:hAnsi="宋体" w:eastAsia="方正大标宋简体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商业洞察</w:t>
            </w:r>
          </w:p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趋势洞察：未来商业方向-纵向看穿，横向看透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产业洞察：顶层设计，找准定位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消费洞察：用户定位，产品创新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ind w:left="360" w:firstLine="0" w:firstLineChars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洞察商业逻辑本质，确定优势竞争地位（定位决定方向）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模块二</w:t>
            </w:r>
          </w:p>
          <w:p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商业模式</w:t>
            </w:r>
          </w:p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商业模式创新：深度再造价值链系统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如何设计符合资本市场的商业模式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如何通过商业模式创新，赢得动态竞争和行业风口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如何通过商业模式创新，提升企业市场控制力与定价权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spacing w:line="360" w:lineRule="auto"/>
              <w:ind w:firstLine="482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公司治理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企业股权结构设计路线图与方案要点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通过股权结构设计，吸引和对接资本市场力量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通过股权结构设计，建立企业长效增长机制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推进股权结构设计，实现团队高度认同与高能激励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spacing w:line="420" w:lineRule="exact"/>
              <w:ind w:firstLine="0" w:firstLineChars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微软雅黑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战略罗盘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细分市场系统分析，预测未来发展趋势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企业战略群体分析，明晰未来发展方向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价值环节定位分析，明确企业核心能力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业务的选择与定位，科学业务组合发展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竞争因素对比分析，获得业务竞争优势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有效规划资源配置，保障战略落地执行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企业战略导航设定，执行系统规划落地（规划决定执行）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赋能组织</w:t>
            </w:r>
          </w:p>
          <w:p>
            <w:pPr>
              <w:ind w:firstLine="0" w:firstLineChars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赋能——打造应对不确定性的敏捷团队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企业全息洞察与组织进化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流程再造与自动自发机制构建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敏捷组织支撑企业指数级增长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赋能进化组织能力，成就企业指数增长（组织决定成败）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企业项目路演辅导与实战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企业深度会诊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学员企业专家随访考察调研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走进金融中心：纽交所、纳斯达克、摩根、高盛、 花旗等金融机构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>
      <w:pPr>
        <w:ind w:firstLine="420"/>
      </w:pP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autoSpaceDE w:val="0"/>
        <w:autoSpaceDN w:val="0"/>
        <w:adjustRightInd w:val="0"/>
        <w:ind w:firstLine="0" w:firstLineChars="0"/>
        <w:jc w:val="left"/>
        <w:rPr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Times New Roman"/>
          <w:b/>
          <w:color w:val="7030A0"/>
          <w:sz w:val="32"/>
          <w:szCs w:val="32"/>
        </w:rPr>
        <w:t>【拟邀部分授课导师</w:t>
      </w:r>
      <w:r>
        <w:rPr>
          <w:rFonts w:hint="eastAsia" w:ascii="宋体" w:hAnsi="宋体" w:eastAsia="宋体" w:cs="Times New Roman"/>
          <w:bCs/>
          <w:color w:val="7030A0"/>
          <w:sz w:val="32"/>
          <w:szCs w:val="32"/>
        </w:rPr>
        <w:t>】</w:t>
      </w:r>
    </w:p>
    <w:p>
      <w:pPr>
        <w:ind w:firstLine="420"/>
        <w:jc w:val="left"/>
        <w:rPr>
          <w:bCs/>
        </w:rPr>
      </w:pPr>
      <w:r>
        <w:rPr>
          <w:b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482" w:firstLineChars="15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>
      <w:pPr>
        <w:adjustRightInd w:val="0"/>
        <w:ind w:right="210" w:rightChars="100" w:firstLineChars="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hint="eastAsia" w:ascii="Arial" w:hAnsi="Arial" w:cs="Arial"/>
          <w:color w:val="333333"/>
          <w:sz w:val="22"/>
          <w:shd w:val="clear" w:color="auto" w:fill="FFFFFF"/>
        </w:rPr>
        <w:t>，清华大学中国与世界经济研</w:t>
      </w:r>
    </w:p>
    <w:p>
      <w:pPr>
        <w:adjustRightInd w:val="0"/>
        <w:ind w:right="210" w:rightChars="100" w:firstLine="220" w:firstLineChars="10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hint="eastAsia" w:ascii="Arial" w:hAnsi="Arial" w:cs="Arial"/>
          <w:color w:val="333333"/>
          <w:sz w:val="22"/>
          <w:shd w:val="clear" w:color="auto" w:fill="FFFFFF"/>
        </w:rPr>
        <w:t>究中心主任，中国人民银行货币政策委员会委员</w:t>
      </w: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640"/>
        <w:jc w:val="left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周 立 </w:t>
      </w:r>
    </w:p>
    <w:p>
      <w:pPr>
        <w:ind w:right="210" w:rightChars="100" w:firstLine="44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清华大学经济管理学院教授，现为4家上市公司独立董事</w:t>
      </w:r>
    </w:p>
    <w:p>
      <w:pPr>
        <w:ind w:right="210" w:rightChars="100" w:firstLine="442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(中金黄金、中航重机、辉丰股份、上海科技)现受聘为中</w:t>
      </w:r>
    </w:p>
    <w:p>
      <w:pPr>
        <w:ind w:right="210" w:rightChars="100" w:firstLine="0" w:firstLineChars="0"/>
        <w:rPr>
          <w:rFonts w:ascii="宋体" w:hAnsi="宋体"/>
          <w:sz w:val="32"/>
          <w:szCs w:val="3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国水电集团地产公司外部董事，兼任信达证券内核委员会</w:t>
      </w:r>
    </w:p>
    <w:p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22"/>
        </w:rPr>
        <w:t>委员。</w:t>
      </w:r>
      <w:r>
        <w:rPr>
          <w:rFonts w:hint="eastAsia" w:ascii="宋体" w:hAnsi="宋体"/>
          <w:sz w:val="32"/>
          <w:szCs w:val="32"/>
        </w:rPr>
        <w:t xml:space="preserve">                                                                                </w:t>
      </w: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 xml:space="preserve">   </w:t>
      </w:r>
    </w:p>
    <w:p>
      <w:pPr>
        <w:ind w:firstLine="803" w:firstLineChars="25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韩廷春</w:t>
      </w:r>
    </w:p>
    <w:p>
      <w:pPr>
        <w:ind w:right="210" w:rightChars="100" w:firstLine="44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清华大学公共管理学院经济学教授、博士生导师。</w:t>
      </w: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spacing w:line="400" w:lineRule="exact"/>
        <w:ind w:firstLine="602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bCs/>
          <w:sz w:val="30"/>
          <w:szCs w:val="30"/>
        </w:rPr>
        <w:t>杨 壮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北大国发院金光讲席教授、BiMBA商学院联席院长。研究领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域：管理学基础，组织行为学，人力资源管理，组织创新与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文化变革，国际化领导力，跨国公司运作与管理</w:t>
      </w:r>
    </w:p>
    <w:p>
      <w:pPr>
        <w:spacing w:line="360" w:lineRule="auto"/>
        <w:ind w:firstLine="561"/>
        <w:rPr>
          <w:sz w:val="32"/>
          <w:szCs w:val="32"/>
        </w:rPr>
      </w:pPr>
      <w:r>
        <w:rPr>
          <w:rFonts w:hint="eastAsia" w:ascii="STXinwei" w:eastAsia="STXinwei"/>
          <w:b/>
          <w:bCs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-1419225</wp:posOffset>
            </wp:positionH>
            <wp:positionV relativeFrom="paragraph">
              <wp:posOffset>366395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sz w:val="32"/>
          <w:szCs w:val="32"/>
        </w:rPr>
      </w:pPr>
    </w:p>
    <w:p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北京大学汇丰商学院金融学教授、助理院长，EMBA主任，特</w:t>
      </w:r>
      <w:r>
        <w:rPr>
          <w:rFonts w:hint="eastAsia" w:ascii="宋体" w:hAnsi="宋体" w:eastAsia="宋体" w:cs="Times New Roman"/>
          <w:sz w:val="22"/>
        </w:rPr>
        <w:t xml:space="preserve">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许金融分析师。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</w:p>
    <w:p>
      <w:pPr>
        <w:widowControl/>
        <w:ind w:firstLine="420"/>
        <w:jc w:val="left"/>
      </w:pPr>
    </w:p>
    <w:p>
      <w:pPr>
        <w:widowControl/>
        <w:spacing w:before="156" w:beforeLines="50"/>
        <w:ind w:firstLine="803" w:firstLineChars="250"/>
        <w:jc w:val="left"/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全国人大财经委法案主任，曾参与多部政策法律文件起草，在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国企改革与有关国有经济、证券市场、私股权投资、投资基金、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信托、合伙制等方面有深入研究。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 xml:space="preserve"> </w:t>
      </w:r>
    </w:p>
    <w:p>
      <w:pPr>
        <w:ind w:firstLine="562"/>
        <w:rPr>
          <w:rFonts w:ascii="宋体" w:hAnsi="宋体" w:cs="宋体"/>
          <w:kern w:val="0"/>
          <w:sz w:val="24"/>
        </w:rPr>
      </w:pPr>
      <w:r>
        <w:rPr>
          <w:rFonts w:ascii="Arial" w:hAnsi="Arial" w:eastAsia="黑体" w:cs="Arial"/>
          <w:b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89535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843" w:firstLineChars="300"/>
        <w:rPr>
          <w:rFonts w:ascii="Arial" w:hAnsi="Arial" w:eastAsia="黑体" w:cs="Arial"/>
          <w:b/>
          <w:sz w:val="28"/>
        </w:rPr>
      </w:pPr>
      <w:r>
        <w:rPr>
          <w:rFonts w:ascii="Arial" w:hAnsi="Arial" w:eastAsia="黑体" w:cs="Arial"/>
          <w:b/>
          <w:sz w:val="28"/>
        </w:rPr>
        <w:t xml:space="preserve">金岩石 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独立经济学家，原</w:t>
      </w:r>
      <w:r>
        <w:rPr>
          <w:rFonts w:ascii="宋体" w:hAnsi="宋体" w:eastAsia="宋体" w:cs="Times New Roman"/>
          <w:sz w:val="22"/>
        </w:rPr>
        <w:t>国金证券首席经济学家，被海内外媒体誉为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“索罗斯的中国门徒”、“纳斯达克市场的活字典”。 </w:t>
      </w:r>
      <w:r>
        <w:rPr>
          <w:rFonts w:hint="eastAsia" w:ascii="宋体" w:hAnsi="宋体" w:eastAsia="宋体" w:cs="Times New Roman"/>
          <w:sz w:val="22"/>
        </w:rPr>
        <w:t>曾</w:t>
      </w:r>
      <w:r>
        <w:rPr>
          <w:rFonts w:ascii="宋体" w:hAnsi="宋体" w:eastAsia="宋体" w:cs="Times New Roman"/>
          <w:sz w:val="22"/>
        </w:rPr>
        <w:t>受聘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 为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 全国人大财经委《证券法》修订小组</w:t>
      </w:r>
      <w:r>
        <w:rPr>
          <w:rFonts w:hint="eastAsia" w:ascii="宋体" w:hAnsi="宋体" w:eastAsia="宋体" w:cs="Times New Roman"/>
          <w:sz w:val="22"/>
        </w:rPr>
        <w:t xml:space="preserve"> 专家，北京大学汇丰商学院</w:t>
      </w:r>
    </w:p>
    <w:p>
      <w:pPr>
        <w:spacing w:line="360" w:lineRule="auto"/>
        <w:ind w:firstLine="220" w:firstLineChars="10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金融课程主任教授， 2010年6月荣获</w:t>
      </w:r>
      <w:r>
        <w:rPr>
          <w:rFonts w:ascii="宋体" w:hAnsi="宋体" w:eastAsia="宋体" w:cs="Times New Roman"/>
          <w:sz w:val="22"/>
        </w:rPr>
        <w:t>中国证券市场20年 “最</w:t>
      </w:r>
    </w:p>
    <w:p>
      <w:pPr>
        <w:spacing w:line="360" w:lineRule="auto"/>
        <w:ind w:firstLine="1980" w:firstLineChars="90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具影响力人物奖”</w:t>
      </w:r>
      <w:r>
        <w:rPr>
          <w:rFonts w:hint="eastAsia" w:ascii="宋体" w:hAnsi="宋体" w:eastAsia="宋体" w:cs="Times New Roman"/>
          <w:sz w:val="22"/>
        </w:rPr>
        <w:t>。2016年荣获《第一财经》年度财经人物。</w:t>
      </w:r>
    </w:p>
    <w:p>
      <w:pPr>
        <w:spacing w:line="360" w:lineRule="auto"/>
        <w:ind w:firstLine="1100" w:firstLineChars="50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76835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 xml:space="preserve">杜兵 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华夏基金投资部原副总，第十四、第十五和第十六届主板发审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委员会委员，现任宝来资产管理有限公司合伙人,深圳宏时资本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管理有限公司执行董事。</w:t>
      </w:r>
    </w:p>
    <w:p>
      <w:pPr>
        <w:widowControl/>
        <w:ind w:right="-105" w:rightChars="-50" w:firstLine="420"/>
        <w:jc w:val="left"/>
      </w:pPr>
    </w:p>
    <w:p>
      <w:pPr>
        <w:widowControl/>
        <w:ind w:firstLine="964" w:firstLineChars="300"/>
        <w:jc w:val="left"/>
        <w:rPr>
          <w:rFonts w:ascii="宋体" w:hAnsi="宋体" w:cs="仿宋"/>
          <w:b/>
          <w:sz w:val="32"/>
          <w:szCs w:val="32"/>
        </w:rPr>
      </w:pPr>
      <w:r>
        <w:rPr>
          <w:rFonts w:hint="eastAsia" w:ascii="宋体" w:hAnsi="宋体" w:cs="仿宋"/>
          <w:b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171450</wp:posOffset>
            </wp:positionV>
            <wp:extent cx="1543050" cy="1775460"/>
            <wp:effectExtent l="0" t="0" r="0" b="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/>
          <w:sz w:val="32"/>
          <w:szCs w:val="32"/>
        </w:rPr>
        <w:t>陈亚彬</w:t>
      </w:r>
    </w:p>
    <w:p>
      <w:pPr>
        <w:ind w:right="-105" w:rightChars="-50" w:firstLine="550" w:firstLineChars="2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北京大学经济学院研究学者，英国皇家管理学院院士，新加坡亚洲管理学院副院长，曾任多家跨国集团、上市公司高管，担任过多家驰名中小企业特聘顾问，如：相宜本草化妆品有限公司</w:t>
      </w:r>
      <w:r>
        <w:rPr>
          <w:rFonts w:ascii="宋体" w:hAnsi="宋体" w:eastAsia="宋体" w:cs="Times New Roman"/>
          <w:sz w:val="22"/>
        </w:rPr>
        <w:t>(</w:t>
      </w:r>
      <w:r>
        <w:rPr>
          <w:rFonts w:hint="eastAsia" w:ascii="宋体" w:hAnsi="宋体" w:eastAsia="宋体" w:cs="Times New Roman"/>
          <w:sz w:val="22"/>
        </w:rPr>
        <w:t>五年辅导</w:t>
      </w:r>
      <w:r>
        <w:rPr>
          <w:rFonts w:ascii="宋体" w:hAnsi="宋体" w:eastAsia="宋体" w:cs="Times New Roman"/>
          <w:sz w:val="22"/>
        </w:rPr>
        <w:t>,</w:t>
      </w:r>
      <w:r>
        <w:rPr>
          <w:rFonts w:hint="eastAsia" w:ascii="宋体" w:hAnsi="宋体" w:eastAsia="宋体" w:cs="Times New Roman"/>
          <w:sz w:val="22"/>
        </w:rPr>
        <w:t>实现从</w:t>
      </w:r>
      <w:r>
        <w:rPr>
          <w:rFonts w:ascii="宋体" w:hAnsi="宋体" w:eastAsia="宋体" w:cs="Times New Roman"/>
          <w:sz w:val="22"/>
        </w:rPr>
        <w:t>6000</w:t>
      </w:r>
      <w:r>
        <w:rPr>
          <w:rFonts w:hint="eastAsia" w:ascii="宋体" w:hAnsi="宋体" w:eastAsia="宋体" w:cs="Times New Roman"/>
          <w:sz w:val="22"/>
        </w:rPr>
        <w:t>万到</w:t>
      </w:r>
      <w:r>
        <w:rPr>
          <w:rFonts w:ascii="宋体" w:hAnsi="宋体" w:eastAsia="宋体" w:cs="Times New Roman"/>
          <w:sz w:val="22"/>
        </w:rPr>
        <w:t>22</w:t>
      </w:r>
      <w:r>
        <w:rPr>
          <w:rFonts w:hint="eastAsia" w:ascii="宋体" w:hAnsi="宋体" w:eastAsia="宋体" w:cs="Times New Roman"/>
          <w:sz w:val="22"/>
        </w:rPr>
        <w:t>个亿</w:t>
      </w:r>
      <w:r>
        <w:rPr>
          <w:rFonts w:ascii="宋体" w:hAnsi="宋体" w:eastAsia="宋体" w:cs="Times New Roman"/>
          <w:sz w:val="22"/>
        </w:rPr>
        <w:t>)</w:t>
      </w:r>
      <w:r>
        <w:rPr>
          <w:rFonts w:hint="eastAsia" w:ascii="宋体" w:hAnsi="宋体" w:eastAsia="宋体" w:cs="Times New Roman"/>
          <w:sz w:val="22"/>
        </w:rPr>
        <w:t>，上海景格科技有限公司（新三板上市公司）。</w:t>
      </w:r>
    </w:p>
    <w:p>
      <w:pPr>
        <w:ind w:firstLine="198" w:firstLineChars="62"/>
        <w:rPr>
          <w:sz w:val="32"/>
          <w:szCs w:val="32"/>
        </w:rPr>
      </w:pPr>
    </w:p>
    <w:p>
      <w:pPr>
        <w:ind w:firstLine="640"/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203835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陆满平</w:t>
      </w:r>
    </w:p>
    <w:p>
      <w:pPr>
        <w:ind w:right="105" w:rightChars="50"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中国社会科学院产业经济学博士后，金融学教授，清 华大学客座教授，平安证券有限公司投资银行总部执行总经理</w:t>
      </w:r>
    </w:p>
    <w:p>
      <w:pPr>
        <w:ind w:firstLine="420"/>
      </w:pPr>
    </w:p>
    <w:p>
      <w:pPr>
        <w:ind w:firstLine="0" w:firstLineChars="0"/>
        <w:rPr>
          <w:b/>
          <w:sz w:val="32"/>
          <w:szCs w:val="32"/>
        </w:rPr>
      </w:pPr>
    </w:p>
    <w:p>
      <w:pPr>
        <w:ind w:firstLine="643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224790</wp:posOffset>
            </wp:positionV>
            <wp:extent cx="1638300" cy="1971675"/>
            <wp:effectExtent l="0" t="0" r="0" b="0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崔凯</w:t>
      </w:r>
    </w:p>
    <w:p>
      <w:pPr>
        <w:ind w:firstLine="550" w:firstLineChars="2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北大纵横管理咨询集团合伙人，上海交通大学安泰经济与管理学院兼职教授，加利福尼亚大学高级访问学者。曾担任新农开发（600359）、亚盛集团（600108）和保龄宝（002286）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等多家上市公司独立董事。多次就热点话题接受CCTV、中国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经营报、阿里巴巴等媒体采访，主讲的《资本运营》课程视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频先后在国内三十多家电视台播出。应邀在清华大学、北京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大学、复旦大学、上海交通大学、浙江大学、南京大学等二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十几所高校执教EMBA课程。</w:t>
      </w:r>
    </w:p>
    <w:p>
      <w:pPr>
        <w:spacing w:line="400" w:lineRule="exact"/>
        <w:ind w:right="105" w:rightChars="50" w:firstLine="2310" w:firstLineChars="110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238125</wp:posOffset>
            </wp:positionV>
            <wp:extent cx="1762125" cy="1781810"/>
            <wp:effectExtent l="0" t="0" r="0" b="0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房西苑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著名国际投资融资顾问，清华紫光汇思通管理咨询公司首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>席咨询师，同时兼任北京大学国情研究中心研究员，北京大学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兼职教授，清华大学兼职教授，中国科学院研究生院兼职教授，美国项目管理协会会员兼培训教授</w:t>
      </w:r>
    </w:p>
    <w:p>
      <w:pPr>
        <w:spacing w:line="400" w:lineRule="exact"/>
        <w:ind w:right="105" w:rightChars="50" w:firstLine="803" w:firstLineChars="250"/>
        <w:jc w:val="left"/>
        <w:rPr>
          <w:rFonts w:ascii="宋体" w:hAnsi="宋体" w:eastAsia="宋体" w:cs="宋体"/>
          <w:b/>
          <w:bCs/>
          <w:color w:val="333333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276" w:lineRule="auto"/>
        <w:ind w:firstLine="0" w:firstLineChars="0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 xml:space="preserve">      </w:t>
      </w:r>
    </w:p>
    <w:p>
      <w:pPr>
        <w:autoSpaceDE w:val="0"/>
        <w:autoSpaceDN w:val="0"/>
        <w:adjustRightInd w:val="0"/>
        <w:spacing w:line="276" w:lineRule="auto"/>
        <w:ind w:firstLine="0" w:firstLineChars="0"/>
        <w:rPr>
          <w:rFonts w:ascii="宋体" w:hAnsi="宋体" w:cs="宋体"/>
          <w:b/>
          <w:sz w:val="32"/>
          <w:szCs w:val="32"/>
        </w:rPr>
      </w:pPr>
    </w:p>
    <w:p>
      <w:pPr>
        <w:autoSpaceDE w:val="0"/>
        <w:autoSpaceDN w:val="0"/>
        <w:adjustRightInd w:val="0"/>
        <w:spacing w:line="276" w:lineRule="auto"/>
        <w:ind w:firstLine="643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228600</wp:posOffset>
            </wp:positionV>
            <wp:extent cx="1597025" cy="1695450"/>
            <wp:effectExtent l="0" t="0" r="0" b="0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 w:val="32"/>
          <w:szCs w:val="32"/>
        </w:rPr>
        <w:t>程海晋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出生近代上海金融世家，曾任通用电气（GE）业务发展与并购部中国区总监，霍尼韦尔（Honeywell）业务拓展与并购部亚太区总监，法国巴黎银行（BNP Paribas）投资银行部亚太区高级经理，中银香港（BOCHK）稽核部高级主任，同时任清华-澳洲麦考瑞大学应用金融硕士专业的客座教授、麦考瑞大学商学院荣誉学者。</w:t>
      </w:r>
    </w:p>
    <w:p>
      <w:pPr>
        <w:spacing w:line="400" w:lineRule="exact"/>
        <w:ind w:left="525" w:leftChars="25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234950</wp:posOffset>
            </wp:positionV>
            <wp:extent cx="1616075" cy="1927225"/>
            <wp:effectExtent l="0" t="0" r="0" b="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643"/>
        <w:jc w:val="left"/>
        <w:rPr>
          <w:rFonts w:ascii="宋体" w:hAnsi="宋体" w:eastAsia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t>齐 昊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曾就职于普华永道会计师事务所审计部（国际之一），曾</w:t>
      </w:r>
    </w:p>
    <w:p>
      <w:pPr>
        <w:ind w:firstLine="198" w:firstLineChars="9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 xml:space="preserve">任李嘉诚先生的和记黄埔联营机构TOM集团COC（香港主板上市股票代码：2383）财务负责人；多家海内外上市公司财务总监。 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</w:rPr>
        <w:t xml:space="preserve">  </w:t>
      </w:r>
    </w:p>
    <w:p>
      <w:pPr>
        <w:widowControl/>
        <w:ind w:firstLine="660" w:firstLineChars="3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1600200" cy="1828800"/>
            <wp:effectExtent l="0" t="0" r="0" b="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刘 胜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中科招商基金原投资总监、总助，曾任汉富控股有限公司副总裁，现任云胜投资总经理</w:t>
      </w:r>
      <w:r>
        <w:rPr>
          <w:rFonts w:hint="eastAsia"/>
          <w:sz w:val="22"/>
        </w:rPr>
        <w:t>。</w:t>
      </w:r>
    </w:p>
    <w:p>
      <w:pPr>
        <w:spacing w:line="500" w:lineRule="exact"/>
        <w:ind w:right="105" w:rightChars="50" w:firstLine="0" w:firstLineChars="0"/>
        <w:contextualSpacing/>
        <w:jc w:val="left"/>
        <w:rPr>
          <w:rFonts w:ascii="微软雅黑" w:hAnsi="微软雅黑" w:eastAsia="微软雅黑" w:cs="微软雅黑"/>
          <w:sz w:val="24"/>
        </w:rPr>
      </w:pPr>
    </w:p>
    <w:p>
      <w:pPr>
        <w:spacing w:line="500" w:lineRule="exact"/>
        <w:ind w:firstLineChars="0"/>
        <w:contextualSpacing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500" w:lineRule="exact"/>
        <w:ind w:firstLine="803" w:firstLineChars="25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spacing w:line="500" w:lineRule="exact"/>
        <w:ind w:firstLine="803" w:firstLineChars="25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spacing w:line="500" w:lineRule="exact"/>
        <w:ind w:firstLine="3080" w:firstLineChars="140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sz w:val="2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354330</wp:posOffset>
            </wp:positionV>
            <wp:extent cx="1590675" cy="1913255"/>
            <wp:effectExtent l="0" t="0" r="0" b="0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任爱民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毕马威企业咨询（中国）有限公司合伙人，主管中国区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战 略澄清和组织转型业务，为企业提供从战略澄清、组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织结构设计、业务流程优化到人力资源管理提升的一体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化增值服务。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sz w:val="24"/>
          <w:szCs w:val="24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     </w:t>
      </w:r>
    </w:p>
    <w:p>
      <w:pPr>
        <w:spacing w:line="400" w:lineRule="exact"/>
        <w:ind w:firstLine="199" w:firstLineChars="66"/>
        <w:jc w:val="left"/>
        <w:rPr>
          <w:rFonts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1457325" cy="1642745"/>
            <wp:effectExtent l="0" t="0" r="0" b="0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533" w:firstLineChars="166"/>
        <w:jc w:val="left"/>
        <w:rPr>
          <w:rFonts w:asciiTheme="majorEastAsia" w:hAnsiTheme="majorEastAsia" w:eastAsiaTheme="majorEastAsia" w:cstheme="majorEastAsia"/>
          <w:b/>
          <w:sz w:val="32"/>
          <w:szCs w:val="32"/>
        </w:rPr>
      </w:pPr>
    </w:p>
    <w:p>
      <w:pPr>
        <w:spacing w:line="400" w:lineRule="exact"/>
        <w:ind w:firstLine="533" w:firstLineChars="166"/>
        <w:jc w:val="left"/>
        <w:rPr>
          <w:rFonts w:ascii="微软雅黑" w:hAnsi="微软雅黑" w:eastAsia="微软雅黑" w:cs="微软雅黑"/>
          <w:b/>
          <w:color w:val="252525" w:themeColor="text1" w:themeTint="D9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王 雷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新时代企业产品战略导师，曾任新浪网第一任产品总监,</w:t>
      </w:r>
      <w:r>
        <w:rPr>
          <w:rFonts w:ascii="宋体" w:hAnsi="宋体" w:eastAsia="宋体" w:cs="Times New Roman"/>
          <w:sz w:val="22"/>
        </w:rPr>
        <w:t xml:space="preserve"> </w:t>
      </w:r>
      <w:r>
        <w:rPr>
          <w:rFonts w:hint="eastAsia" w:ascii="宋体" w:hAnsi="宋体" w:eastAsia="宋体" w:cs="Times New Roman"/>
          <w:sz w:val="22"/>
        </w:rPr>
        <w:t>初创团队核心成员，决胜教育集团（代码：836544）总裁，21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世纪不动产集团（美国纽交所上市）、赶集网、百合网、点击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科公司副总裁，独立投资人</w:t>
      </w:r>
    </w:p>
    <w:p>
      <w:pPr>
        <w:ind w:firstLine="440"/>
        <w:rPr>
          <w:rFonts w:ascii="宋体" w:hAnsi="宋体" w:eastAsia="宋体" w:cs="Times New Roman"/>
          <w:sz w:val="22"/>
        </w:rPr>
      </w:pPr>
    </w:p>
    <w:p>
      <w:pPr>
        <w:widowControl/>
        <w:ind w:firstLine="643"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1504950" cy="1715135"/>
            <wp:effectExtent l="0" t="0" r="0" b="0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 xml:space="preserve">   </w:t>
      </w:r>
    </w:p>
    <w:p>
      <w:pPr>
        <w:widowControl/>
        <w:ind w:firstLine="643"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钱栋玉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企业转型升级系统（CTU-Model）创始人，A股金轮股份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（002722） 原执行总裁曾任搜布等多家B2B互联网百强公司董事、英伦家纺Sanfond公司董事总经理。</w:t>
      </w:r>
    </w:p>
    <w:p>
      <w:pPr>
        <w:ind w:firstLine="440"/>
        <w:rPr>
          <w:rFonts w:ascii="宋体" w:hAnsi="宋体" w:eastAsia="宋体" w:cs="Times New Roman"/>
          <w:sz w:val="22"/>
        </w:rPr>
      </w:pP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【课程收获】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【投行资源】  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hint="eastAsia" w:ascii="宋体" w:hAnsi="宋体" w:eastAsia="宋体" w:cs="Times New Roman"/>
          <w:color w:val="7030A0"/>
          <w:sz w:val="28"/>
          <w:szCs w:val="28"/>
        </w:rPr>
        <w:t>红杉资本、鼎晖投资、</w:t>
      </w:r>
      <w:r>
        <w:rPr>
          <w:rFonts w:ascii="宋体" w:hAnsi="宋体" w:eastAsia="宋体" w:cs="Times New Roman"/>
          <w:color w:val="7030A0"/>
          <w:sz w:val="28"/>
          <w:szCs w:val="28"/>
        </w:rPr>
        <w:t>IDG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资本、中金、</w:t>
      </w:r>
      <w:r>
        <w:rPr>
          <w:rFonts w:ascii="宋体" w:hAnsi="宋体" w:eastAsia="宋体" w:cs="Times New Roman"/>
          <w:color w:val="7030A0"/>
          <w:sz w:val="28"/>
          <w:szCs w:val="28"/>
        </w:rPr>
        <w:t>九鼎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投资、清科创投、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中科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招商、黑马创投、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融</w:t>
      </w:r>
      <w:r>
        <w:rPr>
          <w:rFonts w:ascii="宋体" w:hAnsi="宋体" w:eastAsia="宋体" w:cs="Times New Roman"/>
          <w:color w:val="7030A0"/>
          <w:sz w:val="28"/>
          <w:szCs w:val="28"/>
        </w:rPr>
        <w:t>国际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、中植集团</w:t>
      </w:r>
      <w:r>
        <w:rPr>
          <w:rFonts w:hint="eastAsia" w:ascii="宋体" w:hAnsi="宋体" w:eastAsia="宋体" w:cs="Times New Roman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Cs/>
          <w:color w:val="7030A0"/>
          <w:sz w:val="28"/>
          <w:szCs w:val="28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【参加对象】</w:t>
      </w:r>
      <w:r>
        <w:rPr>
          <w:rFonts w:hint="eastAsia" w:ascii="宋体" w:hAnsi="宋体" w:eastAsia="宋体" w:cs="Times New Roman"/>
          <w:bCs/>
          <w:color w:val="7030A0"/>
          <w:sz w:val="30"/>
          <w:szCs w:val="30"/>
        </w:rPr>
        <w:t xml:space="preserve">  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/>
        </w:rPr>
        <w:t>致力于实现企业资本价值的企业家。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有融资需求的企业董事长、总经理、资本运营负责人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拟上市企业董事长、总经理、资本运营负责人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</w:pPr>
      <w:r>
        <w:rPr>
          <w:rFonts w:hint="eastAsia" w:ascii="Calibri" w:hAnsi="Calibri" w:eastAsia="宋体" w:cs="Times New Roman"/>
        </w:rPr>
        <w:t>实业家转型投资家的企业家</w:t>
      </w: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【学制学费】</w:t>
      </w:r>
    </w:p>
    <w:p>
      <w:pPr>
        <w:autoSpaceDE w:val="0"/>
        <w:autoSpaceDN w:val="0"/>
        <w:adjustRightInd w:val="0"/>
        <w:spacing w:line="400" w:lineRule="exact"/>
        <w:ind w:left="420" w:lef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sz w:val="28"/>
          <w:szCs w:val="28"/>
        </w:rPr>
        <w:t>学制</w:t>
      </w:r>
      <w:r>
        <w:rPr>
          <w:rFonts w:hint="eastAsia" w:ascii="宋体" w:hAnsi="宋体"/>
          <w:sz w:val="28"/>
          <w:szCs w:val="28"/>
        </w:rPr>
        <w:t>两年</w:t>
      </w:r>
      <w:r>
        <w:rPr>
          <w:rFonts w:hint="eastAsia" w:ascii="宋体" w:hAnsi="宋体" w:eastAsia="宋体" w:cs="Times New Roman"/>
          <w:sz w:val="28"/>
          <w:szCs w:val="28"/>
        </w:rPr>
        <w:t>，每两个月集中授课2-3天</w:t>
      </w: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Cs/>
          <w:sz w:val="28"/>
          <w:szCs w:val="28"/>
        </w:rPr>
        <w:t>学费：16.8万元/人，清华校友及老学员推荐</w:t>
      </w:r>
      <w:r>
        <w:rPr>
          <w:rFonts w:hint="eastAsia" w:ascii="宋体" w:hAnsi="宋体"/>
          <w:bCs/>
          <w:sz w:val="28"/>
          <w:szCs w:val="28"/>
        </w:rPr>
        <w:t>9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 xml:space="preserve">.8万元/人 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</w:rPr>
        <w:t>，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>餐费住宿费游学费用自理</w:t>
      </w: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【学制学费】</w:t>
      </w: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  <w:rPr>
          <w:rFonts w:hint="eastAsia" w:ascii="宋体" w:hAnsi="宋体" w:eastAsia="宋体" w:cs="Times New Roman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Cs/>
          <w:color w:val="000000"/>
          <w:sz w:val="28"/>
          <w:szCs w:val="28"/>
          <w:lang w:val="en-US" w:eastAsia="zh-CN"/>
        </w:rPr>
        <w:t xml:space="preserve">电话：010-62797895 </w:t>
      </w: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  <w:rPr>
          <w:rFonts w:hint="default" w:ascii="宋体" w:hAnsi="宋体" w:eastAsia="宋体" w:cs="Times New Roman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Cs/>
          <w:color w:val="000000"/>
          <w:sz w:val="28"/>
          <w:szCs w:val="28"/>
          <w:lang w:val="en-US" w:eastAsia="zh-CN"/>
        </w:rPr>
        <w:t>手机：13439064501（同微信） 陈老师</w:t>
      </w: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ind w:firstLine="420"/>
      </w:pPr>
    </w:p>
    <w:p>
      <w:pPr>
        <w:rPr>
          <w:rFonts w:hint="eastAsia" w:ascii="微软雅黑" w:hAnsi="微软雅黑" w:eastAsia="微软雅黑"/>
          <w:b/>
          <w:color w:val="721E74"/>
          <w:sz w:val="36"/>
          <w:szCs w:val="28"/>
        </w:rPr>
      </w:pPr>
      <w:r>
        <w:rPr>
          <w:rFonts w:hint="eastAsia" w:ascii="微软雅黑" w:hAnsi="微软雅黑" w:eastAsia="微软雅黑"/>
          <w:b/>
          <w:color w:val="721E74"/>
          <w:sz w:val="36"/>
          <w:szCs w:val="28"/>
        </w:rPr>
        <w:br w:type="page"/>
      </w:r>
    </w:p>
    <w:p>
      <w:pPr>
        <w:widowControl/>
        <w:jc w:val="left"/>
      </w:pPr>
      <w:r>
        <w:rPr>
          <w:rFonts w:hint="eastAsia" w:ascii="方正大标宋简体" w:eastAsia="方正大标宋简体"/>
          <w:sz w:val="44"/>
          <w:szCs w:val="44"/>
        </w:rPr>
        <w:t>道口资本后EMBA董事长高端项目</w:t>
      </w:r>
    </w:p>
    <w:p>
      <w:pPr>
        <w:spacing w:line="276" w:lineRule="auto"/>
        <w:jc w:val="center"/>
        <w:rPr>
          <w:rFonts w:ascii="微软雅黑" w:hAnsi="微软雅黑" w:eastAsia="微软雅黑"/>
          <w:bCs/>
          <w:sz w:val="36"/>
          <w:szCs w:val="36"/>
        </w:rPr>
      </w:pPr>
      <w:r>
        <w:rPr>
          <w:rFonts w:hint="eastAsia" w:ascii="微软雅黑" w:hAnsi="微软雅黑" w:eastAsia="微软雅黑"/>
          <w:bCs/>
          <w:sz w:val="36"/>
          <w:szCs w:val="36"/>
        </w:rPr>
        <w:t>报 名 表</w:t>
      </w:r>
    </w:p>
    <w:tbl>
      <w:tblPr>
        <w:tblStyle w:val="6"/>
        <w:tblW w:w="935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393"/>
        <w:gridCol w:w="394"/>
        <w:gridCol w:w="394"/>
        <w:gridCol w:w="31"/>
        <w:gridCol w:w="362"/>
        <w:gridCol w:w="200"/>
        <w:gridCol w:w="210"/>
        <w:gridCol w:w="395"/>
        <w:gridCol w:w="206"/>
        <w:gridCol w:w="175"/>
        <w:gridCol w:w="15"/>
        <w:gridCol w:w="425"/>
        <w:gridCol w:w="418"/>
        <w:gridCol w:w="156"/>
        <w:gridCol w:w="253"/>
        <w:gridCol w:w="394"/>
        <w:gridCol w:w="123"/>
        <w:gridCol w:w="271"/>
        <w:gridCol w:w="316"/>
        <w:gridCol w:w="79"/>
        <w:gridCol w:w="365"/>
        <w:gridCol w:w="28"/>
        <w:gridCol w:w="394"/>
        <w:gridCol w:w="394"/>
        <w:gridCol w:w="394"/>
        <w:gridCol w:w="70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名</w:t>
            </w:r>
          </w:p>
        </w:tc>
        <w:tc>
          <w:tcPr>
            <w:tcW w:w="1774" w:type="dxa"/>
            <w:gridSpan w:val="6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86" w:type="dxa"/>
            <w:gridSpan w:val="4"/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26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031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rPr>
                <w:b/>
              </w:rPr>
            </w:pPr>
          </w:p>
        </w:tc>
        <w:tc>
          <w:tcPr>
            <w:tcW w:w="926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031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26" w:type="dxa"/>
            <w:gridSpan w:val="4"/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031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atLeast"/>
          <w:jc w:val="center"/>
        </w:trPr>
        <w:tc>
          <w:tcPr>
            <w:tcW w:w="187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9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7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手 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机</w:t>
            </w:r>
          </w:p>
        </w:tc>
        <w:tc>
          <w:tcPr>
            <w:tcW w:w="2585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62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62" w:type="dxa"/>
            <w:gridSpan w:val="10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6"/>
            <w:vAlign w:val="center"/>
          </w:tcPr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7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0" w:leftChars="0" w:firstLine="0" w:firstLineChars="0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7488" w:type="dxa"/>
            <w:gridSpan w:val="2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          □不需要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4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left="0" w:leftChars="0" w:firstLine="0" w:firstLineChars="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 xml:space="preserve">年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 xml:space="preserve">月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9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</w:p>
          <w:p>
            <w:pPr>
              <w:pStyle w:val="19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721E74"/>
                <w:lang w:eastAsia="zh-CN"/>
              </w:rPr>
              <w:t>汇款方式</w:t>
            </w:r>
          </w:p>
          <w:p>
            <w:pPr>
              <w:pStyle w:val="19"/>
              <w:spacing w:line="220" w:lineRule="exact"/>
              <w:ind w:left="100"/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</w:pPr>
          </w:p>
          <w:p>
            <w:pPr>
              <w:pStyle w:val="19"/>
              <w:spacing w:line="220" w:lineRule="exact"/>
              <w:ind w:left="100"/>
              <w:rPr>
                <w:rFonts w:ascii="Microsoft JhengHei" w:hAnsi="Microsoft JhengHei" w:eastAsia="Microsoft JhengHei" w:cs="Microsoft JhengHei"/>
                <w:sz w:val="21"/>
                <w:szCs w:val="21"/>
                <w:lang w:eastAsia="zh-CN"/>
              </w:rPr>
            </w:pP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 xml:space="preserve">汇款  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 xml:space="preserve">支票  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3"/>
                <w:w w:val="120"/>
                <w:sz w:val="21"/>
                <w:szCs w:val="21"/>
                <w:lang w:eastAsia="zh-CN"/>
              </w:rPr>
              <w:t xml:space="preserve">现金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>（请在框内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05"/>
                <w:sz w:val="21"/>
                <w:szCs w:val="21"/>
                <w:lang w:eastAsia="zh-CN"/>
              </w:rPr>
              <w:t>用＂√＂标注）</w:t>
            </w: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</w:tcBorders>
            <w:vAlign w:val="center"/>
          </w:tcPr>
          <w:p>
            <w:pPr>
              <w:pStyle w:val="19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  <w:lang w:eastAsia="zh-CN"/>
              </w:rPr>
              <w:t>注： 请在汇款单“汇款用途”栏注明“XXX</w:t>
            </w:r>
            <w:r>
              <w:rPr>
                <w:rFonts w:ascii="宋体" w:hAnsi="宋体" w:eastAsia="宋体" w:cs="宋体"/>
                <w:spacing w:val="-6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  <w:lang w:eastAsia="zh-CN"/>
              </w:rPr>
              <w:t>学费”字样请将汇款票据分别传真至：</w:t>
            </w:r>
          </w:p>
        </w:tc>
      </w:tr>
    </w:tbl>
    <w:p>
      <w:pPr>
        <w:adjustRightInd w:val="0"/>
        <w:snapToGrid w:val="0"/>
        <w:spacing w:line="276" w:lineRule="auto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"mailto:报名表填好后EMAIl至271916126@qq.com"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0"/>
          <w:rFonts w:hint="eastAsia"/>
          <w:lang w:val="en-US" w:eastAsia="zh-CN"/>
        </w:rPr>
        <w:t>报名表填好后EMAIl至271916126@qq.com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电话：13439064501 陈老师</w:t>
      </w:r>
      <w:bookmarkStart w:id="0" w:name="_GoBack"/>
      <w:bookmarkEnd w:id="0"/>
    </w:p>
    <w:p>
      <w:pPr>
        <w:adjustRightInd w:val="0"/>
        <w:snapToGrid w:val="0"/>
        <w:spacing w:line="276" w:lineRule="auto"/>
        <w:jc w:val="center"/>
        <w:rPr>
          <w:rFonts w:ascii="宋体" w:hAnsi="宋体"/>
          <w:bCs/>
        </w:rPr>
      </w:pPr>
      <w:r>
        <w:rPr>
          <w:rFonts w:hint="eastAsia"/>
        </w:rPr>
        <w:t>本表复印或传真均有效，请务必详实完整填写。</w:t>
      </w:r>
    </w:p>
    <w:p>
      <w:pPr>
        <w:ind w:firstLine="420"/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隶书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TXihei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TXinw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80"/>
      <w:rPr>
        <w:rFonts w:ascii="方正大标宋简体" w:eastAsia="方正大标宋简体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0" w:firstLineChars="0"/>
      <w:jc w:val="left"/>
    </w:pPr>
    <w:r>
      <w:rPr>
        <w:rStyle w:val="9"/>
        <w:rFonts w:hint="eastAsia" w:ascii="微软雅黑" w:hAnsi="微软雅黑" w:eastAsia="微软雅黑"/>
        <w:caps/>
        <w:color w:val="333333"/>
        <w:sz w:val="20"/>
        <w:szCs w:val="20"/>
      </w:rPr>
      <w:t xml:space="preserve">                                 资本赋能未来，实战成就领袖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Restart w:val="0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8"/>
    <w:multiLevelType w:val="multilevel"/>
    <w:tmpl w:val="000000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D"/>
    <w:multiLevelType w:val="multilevel"/>
    <w:tmpl w:val="0000000D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 w:eastAsia="宋体" w:cs="宋体"/>
        <w:sz w:val="2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5361D8F"/>
    <w:multiLevelType w:val="multilevel"/>
    <w:tmpl w:val="35361D8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606C59B0"/>
    <w:multiLevelType w:val="multilevel"/>
    <w:tmpl w:val="606C59B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161CF"/>
    <w:rsid w:val="002553EE"/>
    <w:rsid w:val="002628CF"/>
    <w:rsid w:val="002970B3"/>
    <w:rsid w:val="002B0404"/>
    <w:rsid w:val="002D49D1"/>
    <w:rsid w:val="003002AF"/>
    <w:rsid w:val="003075DB"/>
    <w:rsid w:val="003323E6"/>
    <w:rsid w:val="00381388"/>
    <w:rsid w:val="00391791"/>
    <w:rsid w:val="003B6B00"/>
    <w:rsid w:val="003D17CC"/>
    <w:rsid w:val="00415BF7"/>
    <w:rsid w:val="004830EA"/>
    <w:rsid w:val="00496FF9"/>
    <w:rsid w:val="004A3718"/>
    <w:rsid w:val="004C2DAA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D2AF7"/>
    <w:rsid w:val="009E2F64"/>
    <w:rsid w:val="009E7AD9"/>
    <w:rsid w:val="00A108C7"/>
    <w:rsid w:val="00A21060"/>
    <w:rsid w:val="00A37218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B2A18"/>
    <w:rsid w:val="00CD35D6"/>
    <w:rsid w:val="00D059E0"/>
    <w:rsid w:val="00D238AC"/>
    <w:rsid w:val="00D259CC"/>
    <w:rsid w:val="00D368CF"/>
    <w:rsid w:val="00D41549"/>
    <w:rsid w:val="00D622E7"/>
    <w:rsid w:val="00D62594"/>
    <w:rsid w:val="00DA6D8C"/>
    <w:rsid w:val="00E258ED"/>
    <w:rsid w:val="00E37960"/>
    <w:rsid w:val="00E50EC8"/>
    <w:rsid w:val="00E63FE1"/>
    <w:rsid w:val="00E80EEC"/>
    <w:rsid w:val="00E907C8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6AD0BB5"/>
    <w:rsid w:val="38A76DD3"/>
    <w:rsid w:val="3E8F1136"/>
    <w:rsid w:val="417266A4"/>
    <w:rsid w:val="41B30199"/>
    <w:rsid w:val="43743A87"/>
    <w:rsid w:val="5135406B"/>
    <w:rsid w:val="5C657530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link w:val="1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7">
    <w:name w:val="Table Grid"/>
    <w:basedOn w:val="6"/>
    <w:uiPriority w:val="0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普通(网站) 字符"/>
    <w:link w:val="5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paragraph" w:customStyle="1" w:styleId="12">
    <w:name w:val="列出段落1"/>
    <w:basedOn w:val="1"/>
    <w:qFormat/>
    <w:uiPriority w:val="34"/>
    <w:pPr>
      <w:spacing w:line="240" w:lineRule="auto"/>
      <w:ind w:firstLine="420"/>
    </w:pPr>
    <w:rPr>
      <w:rFonts w:ascii="Calibri" w:hAnsi="Calibri" w:eastAsia="宋体" w:cs="Times New Roman"/>
    </w:rPr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fl"/>
    <w:basedOn w:val="8"/>
    <w:qFormat/>
    <w:uiPriority w:val="0"/>
  </w:style>
  <w:style w:type="paragraph" w:customStyle="1" w:styleId="17">
    <w:name w:val="bus_a_heidian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customStyle="1" w:styleId="19">
    <w:name w:val="Table Paragraph"/>
    <w:basedOn w:val="1"/>
    <w:qFormat/>
    <w:uiPriority w:val="1"/>
    <w:pPr>
      <w:jc w:val="left"/>
    </w:pPr>
    <w:rPr>
      <w:rFonts w:eastAsiaTheme="minorHAnsi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E1755-87B1-4786-A557-239E6374EF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709</Words>
  <Characters>4047</Characters>
  <Lines>33</Lines>
  <Paragraphs>9</Paragraphs>
  <TotalTime>4</TotalTime>
  <ScaleCrop>false</ScaleCrop>
  <LinksUpToDate>false</LinksUpToDate>
  <CharactersWithSpaces>4747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2019-05-12T02:44:00Z</dcterms:created>
  <dc:creator>wm</dc:creator>
  <cp:lastModifiedBy>清华总裁班陈伟宏</cp:lastModifiedBy>
  <dcterms:modified xsi:type="dcterms:W3CDTF">2020-03-20T10:01:49Z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