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中国人民大学商学院</w:t>
      </w:r>
    </w:p>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上市公司董秘高级管理课程</w:t>
      </w:r>
    </w:p>
    <w:p>
      <w:pPr>
        <w:spacing w:line="600" w:lineRule="exact"/>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20</w:t>
      </w:r>
      <w:r>
        <w:rPr>
          <w:rFonts w:ascii="微软雅黑" w:hAnsi="微软雅黑" w:eastAsia="微软雅黑" w:cs="Times New Roman"/>
          <w:b/>
          <w:color w:val="C0504D" w:themeColor="accent2"/>
          <w:sz w:val="36"/>
          <w:szCs w:val="36"/>
          <w14:textFill>
            <w14:solidFill>
              <w14:schemeClr w14:val="accent2"/>
            </w14:solidFill>
          </w14:textFill>
        </w:rPr>
        <w:t>20</w:t>
      </w:r>
      <w:r>
        <w:rPr>
          <w:rFonts w:hint="eastAsia" w:ascii="微软雅黑" w:hAnsi="微软雅黑" w:eastAsia="微软雅黑" w:cs="Times New Roman"/>
          <w:b/>
          <w:color w:val="C0504D" w:themeColor="accent2"/>
          <w:sz w:val="36"/>
          <w:szCs w:val="36"/>
          <w14:textFill>
            <w14:solidFill>
              <w14:schemeClr w14:val="accent2"/>
            </w14:solidFill>
          </w14:textFill>
        </w:rPr>
        <w:t>招生简章</w:t>
      </w:r>
    </w:p>
    <w:p>
      <w:pPr>
        <w:spacing w:line="460" w:lineRule="exact"/>
        <w:jc w:val="center"/>
        <w:rPr>
          <w:rFonts w:ascii="微软雅黑" w:hAnsi="微软雅黑" w:eastAsia="微软雅黑"/>
          <w:b/>
          <w:color w:val="948A54" w:themeColor="background2" w:themeShade="80"/>
          <w:sz w:val="24"/>
        </w:rPr>
      </w:pPr>
      <w:r>
        <w:rPr>
          <w:rFonts w:hint="eastAsia" w:ascii="微软雅黑" w:hAnsi="微软雅黑" w:eastAsia="微软雅黑"/>
          <w:b/>
          <w:color w:val="948A54" w:themeColor="background2" w:themeShade="80"/>
          <w:sz w:val="24"/>
        </w:rPr>
        <w:t>金牌董秘领衔、权威专家指导、数百家上市公司董秘首选</w:t>
      </w:r>
    </w:p>
    <w:p>
      <w:pPr>
        <w:spacing w:line="460" w:lineRule="exact"/>
        <w:jc w:val="center"/>
        <w:rPr>
          <w:rFonts w:ascii="微软雅黑" w:hAnsi="微软雅黑" w:eastAsia="微软雅黑"/>
          <w:b/>
          <w:color w:val="948A54" w:themeColor="background2" w:themeShade="80"/>
          <w:sz w:val="24"/>
        </w:rPr>
      </w:pPr>
      <w:r>
        <w:rPr>
          <w:rFonts w:hint="eastAsia" w:ascii="微软雅黑" w:hAnsi="微软雅黑" w:eastAsia="微软雅黑"/>
          <w:b/>
          <w:color w:val="948A54" w:themeColor="background2" w:themeShade="80"/>
          <w:sz w:val="24"/>
        </w:rPr>
        <w:t>国内培养上市公司董秘一流学府</w:t>
      </w:r>
      <w:r>
        <w:rPr>
          <w:rFonts w:ascii="微软雅黑" w:hAnsi="微软雅黑" w:eastAsia="微软雅黑"/>
          <w:b/>
          <w:color w:val="948A54" w:themeColor="background2" w:themeShade="80"/>
          <w:sz w:val="24"/>
        </w:rPr>
        <w:t>—</w:t>
      </w:r>
      <w:r>
        <w:rPr>
          <w:rFonts w:hint="eastAsia" w:ascii="微软雅黑" w:hAnsi="微软雅黑" w:eastAsia="微软雅黑"/>
          <w:b/>
          <w:color w:val="948A54" w:themeColor="background2" w:themeShade="80"/>
          <w:sz w:val="24"/>
        </w:rPr>
        <w:t>打造优秀董秘训练营</w:t>
      </w:r>
    </w:p>
    <w:p>
      <w:pPr>
        <w:spacing w:before="156" w:beforeLines="50" w:after="156" w:afterLines="50" w:line="56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 xml:space="preserve">课程总览 </w:t>
      </w:r>
    </w:p>
    <w:p>
      <w:pPr>
        <w:spacing w:line="480" w:lineRule="exact"/>
        <w:ind w:firstLine="525" w:firstLineChars="250"/>
        <w:rPr>
          <w:rFonts w:ascii="微软雅黑" w:hAnsi="微软雅黑" w:eastAsia="微软雅黑" w:cs="Times New Roman"/>
          <w:szCs w:val="21"/>
        </w:rPr>
      </w:pPr>
      <w:r>
        <w:rPr>
          <w:rFonts w:hint="eastAsia" w:ascii="微软雅黑" w:hAnsi="微软雅黑" w:eastAsia="微软雅黑" w:cs="Times New Roman"/>
          <w:szCs w:val="21"/>
        </w:rPr>
        <w:t>全球资本市场的投融资方式创新不断，整个中国进入了资本竞争和资源整合的时代。在企业与资本市场实现顺利对接中，无论是上市，还是资本运营，董秘都是不可或缺的核心人物。而目前优秀的职业董秘非常缺乏，优秀的董秘已经成为全面稀缺性人才，严重供不应求，现已成为困扰公司在资本市场发展的重要问题。对于上市企业来讲，董秘是空降？外部聘请？要么“水土不服”，要么</w:t>
      </w:r>
      <w:r>
        <w:rPr>
          <w:rFonts w:hint="eastAsia" w:ascii="微软雅黑" w:hAnsi="微软雅黑" w:eastAsia="微软雅黑" w:cs="Times New Roman"/>
          <w:spacing w:val="-4"/>
          <w:szCs w:val="21"/>
        </w:rPr>
        <w:t>成本太高。企业也越来越意识到与其聘请价格不菲的董秘，不如自己培养专业可靠的资本运营大管家！</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 xml:space="preserve">    优秀的董秘应该具备扎实的专业知识、超强的沟通协调能力、传播能力和人际关系能力。懂得规范运作和资本市场运作。真正杰出的董秘一定是跨领域的资源配置者、是企业内外部战略家、资源整合者。他更像一位优秀的大投行家，在实业与资本市场之间穿越，发挥其巨大的影响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宋体"/>
          <w:color w:val="000000"/>
          <w:kern w:val="0"/>
          <w:szCs w:val="21"/>
          <w:lang w:val="zh-CN"/>
        </w:rPr>
        <w:t>一位出色的上市公司董秘，应该具备跨学科的知识和整合能力。</w:t>
      </w:r>
      <w:r>
        <w:rPr>
          <w:rFonts w:hint="eastAsia" w:ascii="微软雅黑" w:hAnsi="微软雅黑" w:eastAsia="微软雅黑" w:cs="Times New Roman"/>
          <w:szCs w:val="21"/>
        </w:rPr>
        <w:t>中国人民大学商学院凭借中国人民大学在金融、财务、法律、管理、新闻等学科优势，整合最强大师资阵容，开设上市公司董秘高级管理课程，旨在帮助董秘们建立全面系统的专业知识架构和战略性思维，通过反思学习、私享会和辅导咨询、交流共创等学习方法帮助董秘解决实际工作中所面临的问题，从而培养一批杰出的上市公司董秘。</w:t>
      </w:r>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课程对象</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宋体"/>
          <w:szCs w:val="21"/>
        </w:rPr>
        <w:t>上市公司</w:t>
      </w:r>
      <w:r>
        <w:rPr>
          <w:rFonts w:hint="eastAsia" w:ascii="微软雅黑" w:hAnsi="微软雅黑" w:eastAsia="微软雅黑" w:cs="Times New Roman"/>
          <w:szCs w:val="21"/>
        </w:rPr>
        <w:t>董事会秘书、财务总监及其他董事会、监事会成员</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Times New Roman"/>
          <w:szCs w:val="21"/>
        </w:rPr>
        <w:t>拟上市公司总经理、董事会秘书、总会计师、法务经理、首席财务官等</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Times New Roman"/>
          <w:szCs w:val="21"/>
        </w:rPr>
        <w:t>投资机构、会计师事务所、</w:t>
      </w:r>
      <w:r>
        <w:rPr>
          <w:rFonts w:hint="eastAsia" w:ascii="微软雅黑" w:hAnsi="微软雅黑" w:eastAsia="微软雅黑"/>
          <w:szCs w:val="21"/>
        </w:rPr>
        <w:t>金融、证券等行业高级管理人员</w:t>
      </w:r>
    </w:p>
    <w:p>
      <w:pPr>
        <w:numPr>
          <w:ilvl w:val="0"/>
          <w:numId w:val="1"/>
        </w:numPr>
        <w:spacing w:line="480" w:lineRule="exact"/>
        <w:ind w:firstLine="0"/>
        <w:rPr>
          <w:rFonts w:ascii="微软雅黑" w:hAnsi="微软雅黑" w:eastAsia="微软雅黑" w:cs="Times New Roman"/>
          <w:szCs w:val="21"/>
        </w:rPr>
      </w:pPr>
      <w:r>
        <w:rPr>
          <w:rFonts w:hint="eastAsia" w:ascii="微软雅黑" w:hAnsi="微软雅黑" w:eastAsia="微软雅黑" w:cs="宋体"/>
          <w:szCs w:val="21"/>
        </w:rPr>
        <w:t xml:space="preserve">IPO </w:t>
      </w:r>
      <w:r>
        <w:rPr>
          <w:rFonts w:hint="eastAsia" w:ascii="微软雅黑" w:hAnsi="微软雅黑" w:eastAsia="微软雅黑" w:cs="Times New Roman"/>
          <w:szCs w:val="21"/>
        </w:rPr>
        <w:t>项目运作经理、财务经理、有志于成为董秘的HRD、财务总监</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szCs w:val="21"/>
        </w:rPr>
        <w:t>*</w:t>
      </w:r>
      <w:r>
        <w:rPr>
          <w:rFonts w:hint="eastAsia" w:ascii="微软雅黑" w:hAnsi="微软雅黑" w:eastAsia="微软雅黑" w:cs="Times New Roman"/>
          <w:szCs w:val="21"/>
        </w:rPr>
        <w:t>本项目不招收事业和政府单位人员，国有企业管理人员参加培训，需要单位出具证明。</w:t>
      </w:r>
    </w:p>
    <w:p>
      <w:pPr>
        <w:spacing w:line="480" w:lineRule="exact"/>
        <w:ind w:firstLine="420" w:firstLineChars="200"/>
        <w:rPr>
          <w:rFonts w:ascii="微软雅黑" w:hAnsi="微软雅黑" w:eastAsia="微软雅黑" w:cs="Times New Roman"/>
          <w:szCs w:val="21"/>
        </w:rPr>
      </w:pPr>
    </w:p>
    <w:p>
      <w:pPr>
        <w:widowControl/>
        <w:shd w:val="clear" w:color="auto" w:fill="FFFFFF"/>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课程收益</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【综合提升管理能力】明确企业发展战略、团队人员胜任能力要求及提升路径，引领其成长</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【有效管控企业风险】从企业发展战略、经营管理层面，切入企业风险控制点，最大限度把控企业整体风险；识别并管控企业在转型中的各类风险和关键风险控制点。</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【熟练运用管控工具】树立前瞻性风险控制思维，了解和掌握风险控制的技术方法，为企业发展带来安全、稳定的运营环境；</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【分析、掌握上市要领】通过对不同板块市场的分析，掌握最新的企业上市政策及规范要求，提升决策者对拟上市公司行业分析及决策能力。</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【掌握危机公关要领】了解网络公关未来发展趋势及网络危机公关几大优势，掌握危机公关原则及方法。</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szCs w:val="21"/>
        </w:rPr>
        <w:t>【掌握最新财税动态】了解掌握最新税改政策要点及应对思路，做好新税收政策运用及筹划，防范税务风险。</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【培养财务分析能力】了解财务报告分析要点，学会运用各项财务指标，以财务的视角量化企业管理难题。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【掌握资本运作全流程管理】充分了解资本市场环境，通过合理的估值分析进行投融资对接，对已经步入成熟期甚至衰退期的企业提出有效建议，规划资本运作战略。</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 </w:t>
      </w:r>
      <w:r>
        <w:rPr>
          <w:rFonts w:hint="eastAsia" w:ascii="微软雅黑" w:hAnsi="微软雅黑" w:eastAsia="微软雅黑"/>
          <w:b/>
          <w:bCs/>
          <w:color w:val="948A54" w:themeColor="background2" w:themeShade="80"/>
          <w:szCs w:val="21"/>
        </w:rPr>
        <w:t>师资阵容强大：</w:t>
      </w:r>
      <w:r>
        <w:rPr>
          <w:rFonts w:hint="eastAsia" w:ascii="微软雅黑" w:hAnsi="微软雅黑" w:eastAsia="微软雅黑" w:cs="Times New Roman"/>
          <w:szCs w:val="21"/>
        </w:rPr>
        <w:t>整合人大金融、财务会计、新闻媒体、法律等高校最强势学科核心师资，业界金牌董秘、政府专家，帮助董秘构筑知识体系，</w:t>
      </w:r>
      <w:r>
        <w:rPr>
          <w:rFonts w:hint="eastAsia" w:ascii="微软雅黑" w:hAnsi="微软雅黑" w:eastAsia="微软雅黑"/>
          <w:bCs/>
          <w:color w:val="000000"/>
          <w:szCs w:val="21"/>
        </w:rPr>
        <w:t xml:space="preserve"> 紧跟资本趋势与政策信号，观点创新，落地与实操性强。</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教学模式先进：</w:t>
      </w:r>
      <w:r>
        <w:rPr>
          <w:rFonts w:hint="eastAsia" w:ascii="微软雅黑" w:hAnsi="微软雅黑" w:eastAsia="微软雅黑" w:cs="Times New Roman"/>
          <w:szCs w:val="21"/>
        </w:rPr>
        <w:t>通过反思学习、私享会、辅导咨询、交流共创等多种教学创新模式，解决董秘所面临的现实问题；</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最佳交流平台：</w:t>
      </w:r>
      <w:r>
        <w:rPr>
          <w:rFonts w:hint="eastAsia" w:ascii="微软雅黑" w:hAnsi="微软雅黑" w:eastAsia="微软雅黑" w:cs="Times New Roman"/>
          <w:szCs w:val="21"/>
        </w:rPr>
        <w:t>提供与人大金融圈、新闻媒体圈、法律界、财税界等校友互动交流学习平台；</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b/>
          <w:bCs/>
          <w:color w:val="948A54" w:themeColor="background2" w:themeShade="80"/>
          <w:szCs w:val="21"/>
        </w:rPr>
        <w:t>交流学习机会：</w:t>
      </w:r>
      <w:r>
        <w:rPr>
          <w:rFonts w:hint="eastAsia" w:ascii="微软雅黑" w:hAnsi="微软雅黑" w:eastAsia="微软雅黑" w:cs="Times New Roman"/>
          <w:szCs w:val="21"/>
        </w:rPr>
        <w:t>为董秘提供学习交流、资格考试经验分享、企业参访、科创板、创业板和主板等资本市场运作实践经验交流的学习平台。</w:t>
      </w:r>
    </w:p>
    <w:p>
      <w:pPr>
        <w:spacing w:before="156" w:beforeLines="50" w:after="156" w:afterLines="50" w:line="480" w:lineRule="exac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课程体系</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课程围绕资本市场的最新发展趋势以及上市公司董秘角色定位要求进行设计，将知识学习+案例分析+前沿专题研讨的教学模式贯穿课程始终，并辅以反思学习、私享会、辅导咨询、交流共创等多种学习方式，透过董秘岗位所需要的不同议题进行全面训练，帮助学员建立董秘岗位知识体系和架构，并将理念转化为可应用的方法技巧，助力企业上市过程中的规范化发展。</w:t>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1677670</wp:posOffset>
                </wp:positionV>
                <wp:extent cx="250190" cy="289560"/>
                <wp:effectExtent l="0" t="0" r="0" b="0"/>
                <wp:wrapNone/>
                <wp:docPr id="40" name="TextBox 153"/>
                <wp:cNvGraphicFramePr/>
                <a:graphic xmlns:a="http://schemas.openxmlformats.org/drawingml/2006/main">
                  <a:graphicData uri="http://schemas.microsoft.com/office/word/2010/wordprocessingShape">
                    <wps:wsp>
                      <wps:cNvSpPr txBox="1">
                        <a:spLocks noChangeArrowheads="1"/>
                      </wps:cNvSpPr>
                      <wps:spPr bwMode="auto">
                        <a:xfrm>
                          <a:off x="0" y="0"/>
                          <a:ext cx="250190"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2</w:t>
                            </w:r>
                          </w:p>
                        </w:txbxContent>
                      </wps:txbx>
                      <wps:bodyPr wrap="none">
                        <a:spAutoFit/>
                      </wps:bodyPr>
                    </wps:wsp>
                  </a:graphicData>
                </a:graphic>
              </wp:anchor>
            </w:drawing>
          </mc:Choice>
          <mc:Fallback>
            <w:pict>
              <v:shape id="TextBox 153" o:spid="_x0000_s1026" o:spt="202" type="#_x0000_t202" style="position:absolute;left:0pt;margin-left:242.25pt;margin-top:132.1pt;height:22.8pt;width:19.7pt;mso-wrap-style:none;z-index:251661312;mso-width-relative:page;mso-height-relative:page;" filled="f" stroked="f" coordsize="21600,21600" o:gfxdata="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FgcNgAAAALAQAADwAAAAAAAAABACAAAAAiAAAAZHJzL2Rvd25yZXYueG1sUEsBAhQA&#10;FAAAAAgAh07iQG5fnh+5AQAAZgMAAA4AAAAAAAAAAQAgAAAAJwEAAGRycy9lMm9Eb2MueG1sUEsF&#10;BgAAAAAGAAYAWQEAAFIFA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2</w:t>
                      </w:r>
                    </w:p>
                  </w:txbxContent>
                </v:textbox>
              </v:shape>
            </w:pict>
          </mc:Fallback>
        </mc:AlternateContent>
      </w:r>
      <w:r>
        <w:rPr>
          <w:rFonts w:ascii="微软雅黑" w:hAnsi="微软雅黑" w:eastAsia="微软雅黑" w:cs="Times New Roman"/>
          <w:b/>
          <w:color w:val="C00000"/>
          <w:sz w:val="28"/>
          <w:szCs w:val="28"/>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2487295</wp:posOffset>
                </wp:positionV>
                <wp:extent cx="253365" cy="289560"/>
                <wp:effectExtent l="0" t="0" r="0" b="0"/>
                <wp:wrapNone/>
                <wp:docPr id="41" name="TextBox 154"/>
                <wp:cNvGraphicFramePr/>
                <a:graphic xmlns:a="http://schemas.openxmlformats.org/drawingml/2006/main">
                  <a:graphicData uri="http://schemas.microsoft.com/office/word/2010/wordprocessingShape">
                    <wps:wsp>
                      <wps:cNvSpPr txBox="1">
                        <a:spLocks noChangeArrowheads="1"/>
                      </wps:cNvSpPr>
                      <wps:spPr bwMode="auto">
                        <a:xfrm>
                          <a:off x="0" y="0"/>
                          <a:ext cx="253365"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3</w:t>
                            </w:r>
                          </w:p>
                        </w:txbxContent>
                      </wps:txbx>
                      <wps:bodyPr wrap="none">
                        <a:spAutoFit/>
                      </wps:bodyPr>
                    </wps:wsp>
                  </a:graphicData>
                </a:graphic>
              </wp:anchor>
            </w:drawing>
          </mc:Choice>
          <mc:Fallback>
            <w:pict>
              <v:shape id="TextBox 154" o:spid="_x0000_s1026" o:spt="202" type="#_x0000_t202" style="position:absolute;left:0pt;margin-left:243.75pt;margin-top:195.85pt;height:22.8pt;width:19.95pt;mso-wrap-style:none;z-index:251662336;mso-width-relative:page;mso-height-relative:page;" filled="f" stroked="f" coordsize="21600,21600" o:gfxdata="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ujSofXAAAACwEAAA8AAAAAAAAAAQAgAAAAIgAAAGRycy9kb3ducmV2LnhtbFBLAQIU&#10;ABQAAAAIAIdO4kDbodNruwEAAGYDAAAOAAAAAAAAAAEAIAAAACYBAABkcnMvZTJvRG9jLnhtbFBL&#10;BQYAAAAABgAGAFkBAABTBQ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3</w:t>
                      </w:r>
                    </w:p>
                  </w:txbxContent>
                </v:textbox>
              </v:shape>
            </w:pict>
          </mc:Fallback>
        </mc:AlternateContent>
      </w:r>
      <w:r>
        <w:rPr>
          <w:rFonts w:ascii="微软雅黑" w:hAnsi="微软雅黑" w:eastAsia="微软雅黑" w:cs="Times New Roman"/>
          <w:b/>
          <w:color w:val="C00000"/>
          <w:sz w:val="28"/>
          <w:szCs w:val="28"/>
        </w:rPr>
        <mc:AlternateContent>
          <mc:Choice Requires="wps">
            <w:drawing>
              <wp:anchor distT="0" distB="0" distL="114300" distR="114300" simplePos="0" relativeHeight="251663360" behindDoc="0" locked="0" layoutInCell="1" allowOverlap="1">
                <wp:simplePos x="0" y="0"/>
                <wp:positionH relativeFrom="column">
                  <wp:posOffset>1639570</wp:posOffset>
                </wp:positionH>
                <wp:positionV relativeFrom="paragraph">
                  <wp:posOffset>1680845</wp:posOffset>
                </wp:positionV>
                <wp:extent cx="253365" cy="289560"/>
                <wp:effectExtent l="0" t="0" r="0" b="0"/>
                <wp:wrapNone/>
                <wp:docPr id="44" name="TextBox 158"/>
                <wp:cNvGraphicFramePr/>
                <a:graphic xmlns:a="http://schemas.openxmlformats.org/drawingml/2006/main">
                  <a:graphicData uri="http://schemas.microsoft.com/office/word/2010/wordprocessingShape">
                    <wps:wsp>
                      <wps:cNvSpPr txBox="1">
                        <a:spLocks noChangeArrowheads="1"/>
                      </wps:cNvSpPr>
                      <wps:spPr bwMode="auto">
                        <a:xfrm>
                          <a:off x="0" y="0"/>
                          <a:ext cx="253365" cy="289560"/>
                        </a:xfrm>
                        <a:prstGeom prst="rect">
                          <a:avLst/>
                        </a:prstGeom>
                        <a:noFill/>
                        <a:ln>
                          <a:noFill/>
                        </a:ln>
                        <a:effectLst/>
                      </wps:spPr>
                      <wps:txbx>
                        <w:txbxContent>
                          <w:p>
                            <w:pPr>
                              <w:pStyle w:val="7"/>
                              <w:spacing w:before="0" w:beforeAutospacing="0" w:after="0" w:afterAutospacing="0"/>
                            </w:pPr>
                            <w:r>
                              <w:rPr>
                                <w:rFonts w:ascii="Agency FB" w:hAnsi="Agency FB" w:eastAsiaTheme="minorEastAsia" w:cstheme="minorBidi"/>
                                <w:b/>
                                <w:bCs/>
                                <w:color w:val="F6F8ED"/>
                                <w:kern w:val="24"/>
                              </w:rPr>
                              <w:t>6</w:t>
                            </w:r>
                          </w:p>
                        </w:txbxContent>
                      </wps:txbx>
                      <wps:bodyPr wrap="none">
                        <a:spAutoFit/>
                      </wps:bodyPr>
                    </wps:wsp>
                  </a:graphicData>
                </a:graphic>
              </wp:anchor>
            </w:drawing>
          </mc:Choice>
          <mc:Fallback>
            <w:pict>
              <v:shape id="TextBox 158" o:spid="_x0000_s1026" o:spt="202" type="#_x0000_t202" style="position:absolute;left:0pt;margin-left:129.1pt;margin-top:132.35pt;height:22.8pt;width:19.95pt;mso-wrap-style:none;z-index:251663360;mso-width-relative:page;mso-height-relative:page;" filled="f" stroked="f" coordsize="21600,21600" o:gfxdata="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vbQU7XAAAACwEAAA8AAAAAAAAAAQAgAAAAIgAAAGRycy9kb3ducmV2LnhtbFBLAQIU&#10;ABQAAAAIAIdO4kBiOnDguwEAAGYDAAAOAAAAAAAAAAEAIAAAACYBAABkcnMvZTJvRG9jLnhtbFBL&#10;BQYAAAAABgAGAFkBAABTBQAAAAA=&#10;">
                <v:fill on="f" focussize="0,0"/>
                <v:stroke on="f"/>
                <v:imagedata o:title=""/>
                <o:lock v:ext="edit" aspectratio="f"/>
                <v:textbox style="mso-fit-shape-to-text:t;">
                  <w:txbxContent>
                    <w:p>
                      <w:pPr>
                        <w:pStyle w:val="7"/>
                        <w:spacing w:before="0" w:beforeAutospacing="0" w:after="0" w:afterAutospacing="0"/>
                      </w:pPr>
                      <w:r>
                        <w:rPr>
                          <w:rFonts w:ascii="Agency FB" w:hAnsi="Agency FB" w:eastAsiaTheme="minorEastAsia" w:cstheme="minorBidi"/>
                          <w:b/>
                          <w:bCs/>
                          <w:color w:val="F6F8ED"/>
                          <w:kern w:val="24"/>
                        </w:rPr>
                        <w:t>6</w:t>
                      </w:r>
                    </w:p>
                  </w:txbxContent>
                </v:textbox>
              </v:shape>
            </w:pict>
          </mc:Fallback>
        </mc:AlternateContent>
      </w:r>
      <w:r>
        <w:rPr>
          <w:rFonts w:hint="eastAsia" w:ascii="微软雅黑" w:hAnsi="微软雅黑" w:eastAsia="微软雅黑" w:cs="Times New Roman"/>
          <w:b/>
          <w:color w:val="C00000"/>
          <w:sz w:val="28"/>
          <w:szCs w:val="28"/>
        </w:rPr>
        <w:t>课程设置</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本课程12个必修模块（18天） 。每个月上一次课，一次2天，学制一年。</w:t>
      </w:r>
    </w:p>
    <w:p>
      <w:pPr>
        <w:spacing w:line="400" w:lineRule="exact"/>
        <w:rPr>
          <w:rFonts w:hint="eastAsia" w:ascii="微软雅黑" w:hAnsi="微软雅黑" w:eastAsia="微软雅黑"/>
          <w:b/>
          <w:szCs w:val="21"/>
        </w:rPr>
      </w:pPr>
    </w:p>
    <w:p>
      <w:pPr>
        <w:spacing w:line="400" w:lineRule="exact"/>
        <w:rPr>
          <w:rFonts w:ascii="微软雅黑" w:hAnsi="微软雅黑" w:eastAsia="微软雅黑"/>
          <w:b/>
          <w:color w:val="FF0000"/>
          <w:szCs w:val="21"/>
        </w:rPr>
      </w:pPr>
      <w:r>
        <w:rPr>
          <w:rFonts w:hint="eastAsia" w:ascii="微软雅黑" w:hAnsi="微软雅黑" w:eastAsia="微软雅黑"/>
          <w:b/>
          <w:szCs w:val="21"/>
        </w:rPr>
        <w:t xml:space="preserve">模块一 </w:t>
      </w:r>
      <w:r>
        <w:rPr>
          <w:rFonts w:ascii="微软雅黑" w:hAnsi="微软雅黑" w:eastAsia="微软雅黑"/>
          <w:b/>
          <w:szCs w:val="21"/>
        </w:rPr>
        <w:t xml:space="preserve"> </w:t>
      </w:r>
      <w:r>
        <w:rPr>
          <w:rFonts w:hint="eastAsia" w:ascii="微软雅黑" w:hAnsi="微软雅黑" w:eastAsia="微软雅黑"/>
          <w:b/>
          <w:szCs w:val="21"/>
        </w:rPr>
        <w:t>董秘领导力</w:t>
      </w:r>
      <w:r>
        <w:rPr>
          <w:rFonts w:ascii="微软雅黑" w:hAnsi="微软雅黑" w:eastAsia="微软雅黑"/>
          <w:b/>
          <w:szCs w:val="21"/>
        </w:rPr>
        <w:t>与职业</w:t>
      </w:r>
      <w:r>
        <w:rPr>
          <w:rFonts w:hint="eastAsia" w:ascii="微软雅黑" w:hAnsi="微软雅黑" w:eastAsia="微软雅黑"/>
          <w:b/>
          <w:szCs w:val="21"/>
        </w:rPr>
        <w:t xml:space="preserve">修练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olor w:val="FF0000"/>
          <w:szCs w:val="21"/>
        </w:rPr>
      </w:pPr>
      <w:r>
        <w:rPr>
          <w:rFonts w:hint="eastAsia" w:ascii="微软雅黑" w:hAnsi="微软雅黑" w:eastAsia="微软雅黑"/>
          <w:szCs w:val="21"/>
        </w:rPr>
        <w:t xml:space="preserve">如何成为一位优秀的董秘 </w:t>
      </w:r>
      <w:r>
        <w:rPr>
          <w:rFonts w:ascii="微软雅黑" w:hAnsi="微软雅黑" w:eastAsia="微软雅黑"/>
          <w:szCs w:val="21"/>
        </w:rPr>
        <w:t xml:space="preserve">   </w:t>
      </w:r>
    </w:p>
    <w:p>
      <w:pPr>
        <w:spacing w:line="400" w:lineRule="exact"/>
        <w:ind w:firstLine="420" w:firstLineChars="200"/>
        <w:rPr>
          <w:rFonts w:ascii="微软雅黑" w:hAnsi="微软雅黑" w:eastAsia="微软雅黑"/>
          <w:color w:val="FF0000"/>
          <w:szCs w:val="21"/>
        </w:rPr>
      </w:pPr>
      <w:r>
        <w:rPr>
          <w:rFonts w:hint="eastAsia" w:ascii="微软雅黑" w:hAnsi="微软雅黑" w:eastAsia="微软雅黑"/>
          <w:szCs w:val="21"/>
        </w:rPr>
        <w:t>压力管理</w:t>
      </w:r>
      <w:r>
        <w:rPr>
          <w:rFonts w:ascii="微软雅黑" w:hAnsi="微软雅黑" w:eastAsia="微软雅黑"/>
          <w:szCs w:val="21"/>
        </w:rPr>
        <w:t>与心理调适</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董秘的</w:t>
      </w:r>
      <w:r>
        <w:rPr>
          <w:rFonts w:ascii="微软雅黑" w:hAnsi="微软雅黑" w:eastAsia="微软雅黑"/>
          <w:szCs w:val="21"/>
        </w:rPr>
        <w:t>角色与</w:t>
      </w:r>
      <w:r>
        <w:rPr>
          <w:rFonts w:hint="eastAsia" w:ascii="微软雅黑" w:hAnsi="微软雅黑" w:eastAsia="微软雅黑"/>
          <w:szCs w:val="21"/>
        </w:rPr>
        <w:t>职业</w:t>
      </w:r>
      <w:r>
        <w:rPr>
          <w:rFonts w:ascii="微软雅黑" w:hAnsi="微软雅黑" w:eastAsia="微软雅黑"/>
          <w:szCs w:val="21"/>
        </w:rPr>
        <w:t>定位</w:t>
      </w:r>
    </w:p>
    <w:p>
      <w:pPr>
        <w:spacing w:line="400" w:lineRule="exact"/>
        <w:rPr>
          <w:rFonts w:ascii="微软雅黑" w:hAnsi="微软雅黑" w:eastAsia="微软雅黑"/>
          <w:b/>
          <w:szCs w:val="21"/>
        </w:rPr>
      </w:pPr>
      <w:r>
        <w:rPr>
          <w:rFonts w:hint="eastAsia" w:ascii="微软雅黑" w:hAnsi="微软雅黑" w:eastAsia="微软雅黑"/>
          <w:b/>
          <w:szCs w:val="21"/>
        </w:rPr>
        <w:t>模块二  信披与媒体</w:t>
      </w:r>
      <w:r>
        <w:rPr>
          <w:rFonts w:ascii="微软雅黑" w:hAnsi="微软雅黑" w:eastAsia="微软雅黑"/>
          <w:b/>
          <w:szCs w:val="21"/>
        </w:rPr>
        <w:t>公关</w:t>
      </w:r>
      <w:r>
        <w:rPr>
          <w:rFonts w:hint="eastAsia" w:ascii="微软雅黑" w:hAnsi="微软雅黑" w:eastAsia="微软雅黑"/>
          <w:b/>
          <w:szCs w:val="21"/>
        </w:rPr>
        <w:t xml:space="preserve">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投资者关系与信息披露</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上市公司重要</w:t>
      </w:r>
      <w:r>
        <w:rPr>
          <w:rFonts w:ascii="微软雅黑" w:hAnsi="微软雅黑" w:eastAsia="微软雅黑"/>
          <w:szCs w:val="21"/>
        </w:rPr>
        <w:t>信息</w:t>
      </w:r>
      <w:r>
        <w:rPr>
          <w:rFonts w:hint="eastAsia" w:ascii="微软雅黑" w:hAnsi="微软雅黑" w:eastAsia="微软雅黑"/>
          <w:szCs w:val="21"/>
        </w:rPr>
        <w:t>及</w:t>
      </w:r>
      <w:r>
        <w:rPr>
          <w:rFonts w:ascii="微软雅黑" w:hAnsi="微软雅黑" w:eastAsia="微软雅黑"/>
          <w:szCs w:val="21"/>
        </w:rPr>
        <w:t>交易事项的披露</w:t>
      </w:r>
      <w:r>
        <w:rPr>
          <w:rFonts w:hint="eastAsia" w:ascii="微软雅黑" w:hAnsi="微软雅黑" w:eastAsia="微软雅黑"/>
          <w:szCs w:val="21"/>
        </w:rPr>
        <w:t>；</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近期信息</w:t>
      </w:r>
      <w:r>
        <w:rPr>
          <w:rFonts w:ascii="微软雅黑" w:hAnsi="微软雅黑" w:eastAsia="微软雅黑"/>
          <w:szCs w:val="21"/>
        </w:rPr>
        <w:t>披露违法违规处罚概况</w:t>
      </w:r>
      <w:r>
        <w:rPr>
          <w:rFonts w:hint="eastAsia" w:ascii="微软雅黑" w:hAnsi="微软雅黑" w:eastAsia="微软雅黑"/>
          <w:szCs w:val="21"/>
        </w:rPr>
        <w:t>；</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企业公关传播的媒介与方式</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危机公关的步骤与策略</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自媒体与价值圈粉</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模块三 资本市场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多层次资本市场</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企业融资选择</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投资银行实务</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企业IPO实务</w:t>
      </w:r>
    </w:p>
    <w:p>
      <w:pPr>
        <w:spacing w:line="400" w:lineRule="exact"/>
        <w:rPr>
          <w:rFonts w:ascii="微软雅黑" w:hAnsi="微软雅黑" w:eastAsia="微软雅黑"/>
          <w:b/>
          <w:szCs w:val="21"/>
        </w:rPr>
      </w:pPr>
      <w:r>
        <w:rPr>
          <w:rFonts w:hint="eastAsia" w:ascii="微软雅黑" w:hAnsi="微软雅黑" w:eastAsia="微软雅黑"/>
          <w:b/>
          <w:szCs w:val="21"/>
        </w:rPr>
        <w:t>模块四 财务与</w:t>
      </w:r>
      <w:r>
        <w:rPr>
          <w:rFonts w:ascii="微软雅黑" w:hAnsi="微软雅黑" w:eastAsia="微软雅黑"/>
          <w:b/>
          <w:szCs w:val="21"/>
        </w:rPr>
        <w:t>税务</w:t>
      </w:r>
      <w:r>
        <w:rPr>
          <w:rFonts w:hint="eastAsia" w:ascii="微软雅黑" w:hAnsi="微软雅黑" w:eastAsia="微软雅黑"/>
          <w:b/>
          <w:szCs w:val="21"/>
        </w:rPr>
        <w:t xml:space="preserve">能力打造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企业经营活动与税收的关系 </w:t>
      </w:r>
      <w:r>
        <w:rPr>
          <w:rFonts w:ascii="微软雅黑" w:hAnsi="微软雅黑" w:eastAsia="微软雅黑"/>
          <w:color w:val="000000" w:themeColor="text1"/>
          <w:szCs w:val="21"/>
          <w14:textFill>
            <w14:solidFill>
              <w14:schemeClr w14:val="tx1"/>
            </w14:solidFill>
          </w14:textFill>
        </w:rPr>
        <w:t xml:space="preserve">     </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增值税风险管控要点</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企业所得税、个人所得税风险管控要点</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税务稽查动态及税收新政解读</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投资者关注的主要财务问题</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IPO中的税务问题</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纳税筹划 </w:t>
      </w:r>
      <w:r>
        <w:rPr>
          <w:rFonts w:ascii="微软雅黑" w:hAnsi="微软雅黑" w:eastAsia="微软雅黑"/>
          <w:color w:val="000000" w:themeColor="text1"/>
          <w:szCs w:val="21"/>
          <w14:textFill>
            <w14:solidFill>
              <w14:schemeClr w14:val="tx1"/>
            </w14:solidFill>
          </w14:textFill>
        </w:rPr>
        <w:t xml:space="preserve">                 </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模块五 法律法规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IPO监管</w:t>
      </w:r>
      <w:r>
        <w:rPr>
          <w:rFonts w:ascii="微软雅黑" w:hAnsi="微软雅黑" w:eastAsia="微软雅黑"/>
          <w:szCs w:val="21"/>
        </w:rPr>
        <w:t>审核动态</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典型案例</w:t>
      </w:r>
      <w:r>
        <w:rPr>
          <w:rFonts w:ascii="微软雅黑" w:hAnsi="微软雅黑" w:eastAsia="微软雅黑"/>
          <w:szCs w:val="21"/>
        </w:rPr>
        <w:t>分析及常见法律问题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法律风险防控</w:t>
      </w:r>
    </w:p>
    <w:p>
      <w:pPr>
        <w:spacing w:line="400" w:lineRule="exact"/>
        <w:ind w:firstLine="420" w:firstLineChars="200"/>
        <w:rPr>
          <w:rFonts w:ascii="微软雅黑" w:hAnsi="微软雅黑" w:eastAsia="微软雅黑"/>
          <w:szCs w:val="21"/>
        </w:rPr>
      </w:pPr>
      <w:r>
        <w:rPr>
          <w:rFonts w:ascii="微软雅黑" w:hAnsi="微软雅黑" w:eastAsia="微软雅黑"/>
          <w:szCs w:val="21"/>
        </w:rPr>
        <w:t>企业上市的法律问题</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模块六 公司治理与三会运作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公司治理中常见六大失控，</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规范高效董事会的运作，</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监事会的问题诊断及完善路径，</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股东权利及对董事会高管的监督，</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董事会及高管领导力，</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如何构建良好和谐的董事会与经理层关系</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董监事履职能力提高</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高管及经理层职场风险及自律防范，</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内控及合规管理主要框架</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 xml:space="preserve">企业重大风险防范机制构建， </w:t>
      </w:r>
    </w:p>
    <w:p>
      <w:pPr>
        <w:widowControl/>
        <w:spacing w:line="400" w:lineRule="exact"/>
        <w:jc w:val="left"/>
        <w:rPr>
          <w:rFonts w:ascii="微软雅黑" w:hAnsi="微软雅黑" w:eastAsia="微软雅黑"/>
          <w:b/>
          <w:szCs w:val="21"/>
        </w:rPr>
      </w:pPr>
      <w:r>
        <w:rPr>
          <w:rFonts w:hint="eastAsia" w:ascii="微软雅黑" w:hAnsi="微软雅黑" w:eastAsia="微软雅黑"/>
          <w:b/>
          <w:szCs w:val="21"/>
        </w:rPr>
        <w:t>模块七  私募股权投融</w:t>
      </w:r>
      <w:r>
        <w:rPr>
          <w:rFonts w:ascii="微软雅黑" w:hAnsi="微软雅黑" w:eastAsia="微软雅黑"/>
          <w:b/>
          <w:szCs w:val="21"/>
        </w:rPr>
        <w:t>资</w:t>
      </w:r>
      <w:r>
        <w:rPr>
          <w:rFonts w:hint="eastAsia" w:ascii="微软雅黑" w:hAnsi="微软雅黑" w:eastAsia="微软雅黑"/>
          <w:b/>
          <w:szCs w:val="21"/>
        </w:rPr>
        <w:t xml:space="preserve">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私募股权投融资运作架构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私募股权投资基金的类型、组织形式与募集方式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私募股权投资基金的募集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私募股权投资基金的投资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私募股权投资基金的投后管理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私募股权投资基金的退出</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模块八 </w:t>
      </w:r>
      <w:r>
        <w:rPr>
          <w:rFonts w:ascii="微软雅黑" w:hAnsi="微软雅黑" w:eastAsia="微软雅黑"/>
          <w:b/>
          <w:szCs w:val="21"/>
        </w:rPr>
        <w:t xml:space="preserve"> </w:t>
      </w:r>
      <w:r>
        <w:rPr>
          <w:rFonts w:hint="eastAsia" w:ascii="微软雅黑" w:hAnsi="微软雅黑" w:eastAsia="微软雅黑"/>
          <w:b/>
          <w:szCs w:val="21"/>
        </w:rPr>
        <w:t xml:space="preserve">市值管理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如何管理好企业的内在价值</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如何加强市值管理？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IPO</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股本、股东结构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收益分配方式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市值管理与再融资</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 xml:space="preserve"> CFO-被</w:t>
      </w:r>
      <w:r>
        <w:rPr>
          <w:rFonts w:ascii="微软雅黑" w:hAnsi="微软雅黑" w:eastAsia="微软雅黑" w:cs="宋体"/>
          <w:szCs w:val="21"/>
        </w:rPr>
        <w:t>忽略的核心问题</w:t>
      </w:r>
    </w:p>
    <w:p>
      <w:pPr>
        <w:spacing w:line="400" w:lineRule="exact"/>
        <w:ind w:firstLine="420" w:firstLineChars="200"/>
        <w:rPr>
          <w:rFonts w:ascii="微软雅黑" w:hAnsi="微软雅黑" w:eastAsia="微软雅黑" w:cs="宋体"/>
          <w:szCs w:val="21"/>
        </w:rPr>
      </w:pPr>
      <w:r>
        <w:rPr>
          <w:rFonts w:ascii="微软雅黑" w:hAnsi="微软雅黑" w:eastAsia="微软雅黑" w:cs="宋体"/>
          <w:szCs w:val="21"/>
        </w:rPr>
        <w:t>--</w:t>
      </w:r>
      <w:r>
        <w:rPr>
          <w:rFonts w:hint="eastAsia" w:ascii="微软雅黑" w:hAnsi="微软雅黑" w:eastAsia="微软雅黑" w:cs="宋体"/>
          <w:szCs w:val="21"/>
        </w:rPr>
        <w:t>收购</w:t>
      </w:r>
      <w:r>
        <w:rPr>
          <w:rFonts w:ascii="微软雅黑" w:hAnsi="微软雅黑" w:eastAsia="微软雅黑" w:cs="宋体"/>
          <w:szCs w:val="21"/>
        </w:rPr>
        <w:t>-维持公司价值的战略常态</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公司价值</w:t>
      </w:r>
      <w:r>
        <w:rPr>
          <w:rFonts w:ascii="微软雅黑" w:hAnsi="微软雅黑" w:eastAsia="微软雅黑" w:cs="宋体"/>
          <w:szCs w:val="21"/>
        </w:rPr>
        <w:t>管理-全球案例</w:t>
      </w:r>
    </w:p>
    <w:p>
      <w:pPr>
        <w:spacing w:line="400" w:lineRule="exact"/>
        <w:jc w:val="left"/>
        <w:rPr>
          <w:rFonts w:asciiTheme="majorEastAsia" w:hAnsiTheme="majorEastAsia" w:eastAsiaTheme="majorEastAsia"/>
          <w:b/>
          <w:szCs w:val="21"/>
        </w:rPr>
      </w:pPr>
      <w:r>
        <w:rPr>
          <w:rFonts w:hint="eastAsia" w:ascii="微软雅黑" w:hAnsi="微软雅黑" w:eastAsia="微软雅黑"/>
          <w:b/>
          <w:szCs w:val="21"/>
        </w:rPr>
        <w:t xml:space="preserve">模块九 </w:t>
      </w:r>
      <w:r>
        <w:rPr>
          <w:rFonts w:hint="eastAsia" w:ascii="微软雅黑" w:hAnsi="微软雅黑" w:eastAsia="微软雅黑" w:cs="宋体"/>
          <w:b/>
          <w:bCs/>
          <w:szCs w:val="21"/>
        </w:rPr>
        <w:t>科创板相关政策解读与监管要求</w:t>
      </w:r>
    </w:p>
    <w:p>
      <w:pPr>
        <w:spacing w:line="400" w:lineRule="exact"/>
        <w:rPr>
          <w:rFonts w:ascii="微软雅黑" w:hAnsi="微软雅黑" w:eastAsia="微软雅黑"/>
          <w:szCs w:val="21"/>
        </w:rPr>
      </w:pPr>
      <w:r>
        <w:rPr>
          <w:rFonts w:hint="eastAsia" w:ascii="微软雅黑" w:hAnsi="微软雅黑" w:eastAsia="微软雅黑"/>
          <w:b/>
          <w:szCs w:val="21"/>
        </w:rPr>
        <w:t xml:space="preserve">   </w:t>
      </w:r>
      <w:r>
        <w:rPr>
          <w:rFonts w:hint="eastAsia" w:ascii="微软雅黑" w:hAnsi="微软雅黑" w:eastAsia="微软雅黑" w:cs="宋体"/>
          <w:szCs w:val="21"/>
        </w:rPr>
        <w:t xml:space="preserve"> 科创板相关政策解读与监管要求</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设立背景与整体安排</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发行与上市</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持续监管与交易制度</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科创企业重点财务问题解读</w:t>
      </w:r>
    </w:p>
    <w:p>
      <w:pPr>
        <w:spacing w:line="400" w:lineRule="exact"/>
        <w:ind w:firstLine="420" w:firstLineChars="200"/>
        <w:rPr>
          <w:rFonts w:ascii="微软雅黑" w:hAnsi="微软雅黑" w:eastAsia="微软雅黑"/>
          <w:b/>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科创企业发行上市舞弊识别</w:t>
      </w:r>
    </w:p>
    <w:p>
      <w:pPr>
        <w:spacing w:line="400" w:lineRule="exact"/>
        <w:ind w:firstLine="315" w:firstLineChars="150"/>
        <w:rPr>
          <w:rFonts w:ascii="微软雅黑" w:hAnsi="微软雅黑" w:eastAsia="微软雅黑" w:cs="宋体"/>
          <w:szCs w:val="21"/>
        </w:rPr>
      </w:pPr>
      <w:r>
        <w:rPr>
          <w:rFonts w:hint="eastAsia" w:ascii="微软雅黑" w:hAnsi="微软雅黑" w:eastAsia="微软雅黑" w:cs="宋体"/>
          <w:szCs w:val="21"/>
        </w:rPr>
        <w:t>年报财务信息与风险纰漏</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资产负债表、利润表和现金流量表的联系机理</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财务报告常用指标及相关分析</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上市公司财务报表分析中存在的问题及改进方法</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cs="宋体"/>
          <w:szCs w:val="21"/>
        </w:rPr>
        <w:t>财务报告分析案例——A股问题名单</w:t>
      </w:r>
    </w:p>
    <w:p>
      <w:pPr>
        <w:spacing w:line="400" w:lineRule="exact"/>
        <w:rPr>
          <w:rFonts w:ascii="微软雅黑" w:hAnsi="微软雅黑" w:eastAsia="微软雅黑"/>
          <w:b/>
          <w:szCs w:val="21"/>
        </w:rPr>
      </w:pPr>
      <w:r>
        <w:rPr>
          <w:rFonts w:hint="eastAsia" w:ascii="微软雅黑" w:hAnsi="微软雅黑" w:eastAsia="微软雅黑"/>
          <w:b/>
          <w:szCs w:val="21"/>
        </w:rPr>
        <w:t>模块十</w:t>
      </w:r>
      <w:r>
        <w:rPr>
          <w:rFonts w:ascii="微软雅黑" w:hAnsi="微软雅黑" w:eastAsia="微软雅黑"/>
          <w:b/>
          <w:szCs w:val="21"/>
        </w:rPr>
        <w:t xml:space="preserve"> </w:t>
      </w:r>
      <w:r>
        <w:rPr>
          <w:rFonts w:hint="eastAsia" w:ascii="微软雅黑" w:hAnsi="微软雅黑" w:eastAsia="微软雅黑"/>
          <w:b/>
          <w:szCs w:val="21"/>
        </w:rPr>
        <w:t xml:space="preserve">商业模式变革创新与商业计划书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什么是商业模式</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商业生态系统与企业价值链分析</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商业模式创新与重构设计</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企业成功商业模式选择</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典型商业模式案例</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商业计划书概论</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商业计划书的内容</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商业计划书撰写的核心要点</w:t>
      </w:r>
    </w:p>
    <w:p>
      <w:pPr>
        <w:spacing w:line="400" w:lineRule="exact"/>
        <w:ind w:firstLine="420" w:firstLineChars="200"/>
        <w:rPr>
          <w:rFonts w:ascii="微软雅黑" w:hAnsi="微软雅黑" w:eastAsia="微软雅黑" w:cs="宋体"/>
          <w:color w:val="000000" w:themeColor="text1"/>
          <w:szCs w:val="21"/>
          <w14:textFill>
            <w14:solidFill>
              <w14:schemeClr w14:val="tx1"/>
            </w14:solidFill>
          </w14:textFill>
        </w:rPr>
      </w:pPr>
      <w:r>
        <w:rPr>
          <w:rFonts w:hint="eastAsia" w:ascii="微软雅黑" w:hAnsi="微软雅黑" w:eastAsia="微软雅黑" w:cs="宋体"/>
          <w:color w:val="000000" w:themeColor="text1"/>
          <w:szCs w:val="21"/>
          <w14:textFill>
            <w14:solidFill>
              <w14:schemeClr w14:val="tx1"/>
            </w14:solidFill>
          </w14:textFill>
        </w:rPr>
        <w:t>商业计划书与融资路演训练</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模块十一 上市公司会计审计与财务风险管控 </w:t>
      </w:r>
      <w:r>
        <w:rPr>
          <w:rFonts w:ascii="微软雅黑" w:hAnsi="微软雅黑" w:eastAsia="微软雅黑"/>
          <w:b/>
          <w:szCs w:val="21"/>
        </w:rPr>
        <w:t xml:space="preserve">  </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公司上市中的财务管理问题</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发行条件、发行程序</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信息披露及基本原理和一般规定等</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首次公开发行股票（I</w:t>
      </w:r>
      <w:r>
        <w:rPr>
          <w:rFonts w:ascii="微软雅黑" w:hAnsi="微软雅黑" w:eastAsia="微软雅黑"/>
          <w:bCs/>
          <w:szCs w:val="21"/>
        </w:rPr>
        <w:t>PO</w:t>
      </w:r>
      <w:r>
        <w:rPr>
          <w:rFonts w:hint="eastAsia" w:ascii="微软雅黑" w:hAnsi="微软雅黑" w:eastAsia="微软雅黑"/>
          <w:bCs/>
          <w:szCs w:val="21"/>
        </w:rPr>
        <w:t>）并上市</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定期报告及临时报告</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其他重大事项</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内部控制规范与风险管理框架</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cs="宋体"/>
          <w:szCs w:val="21"/>
        </w:rPr>
        <w:t>-</w:t>
      </w:r>
      <w:r>
        <w:rPr>
          <w:rFonts w:ascii="微软雅黑" w:hAnsi="微软雅黑" w:eastAsia="微软雅黑" w:cs="宋体"/>
          <w:szCs w:val="21"/>
        </w:rPr>
        <w:t>-</w:t>
      </w:r>
      <w:r>
        <w:rPr>
          <w:rFonts w:hint="eastAsia" w:ascii="微软雅黑" w:hAnsi="微软雅黑" w:eastAsia="微软雅黑"/>
          <w:bCs/>
          <w:szCs w:val="21"/>
        </w:rPr>
        <w:t>上市公司审计问题及控制规范与风险管理框架</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上市公司审计实务</w:t>
      </w:r>
    </w:p>
    <w:p>
      <w:pPr>
        <w:spacing w:line="400" w:lineRule="exact"/>
        <w:ind w:firstLine="420" w:firstLineChars="200"/>
        <w:rPr>
          <w:rFonts w:ascii="微软雅黑" w:hAnsi="微软雅黑" w:eastAsia="微软雅黑"/>
          <w:bCs/>
          <w:szCs w:val="21"/>
        </w:rPr>
      </w:pPr>
      <w:r>
        <w:rPr>
          <w:rFonts w:hint="eastAsia" w:ascii="微软雅黑" w:hAnsi="微软雅黑" w:eastAsia="微软雅黑"/>
          <w:bCs/>
          <w:szCs w:val="21"/>
        </w:rPr>
        <w:t>上市公司常见财务舞弊案例及其风险防范</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模块十二 股权激励顶层设计与落地实操 </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股权激励之前如何进行股权布局，提前做好控制权防范</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股权比例设置总原则</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股权结构调整</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擅用组织形式</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如何进行股权布局</w:t>
      </w:r>
    </w:p>
    <w:p>
      <w:pPr>
        <w:spacing w:line="400" w:lineRule="exact"/>
        <w:ind w:firstLine="420" w:firstLineChars="200"/>
        <w:rPr>
          <w:rFonts w:ascii="微软雅黑" w:hAnsi="微软雅黑" w:eastAsia="微软雅黑"/>
          <w:b/>
          <w:szCs w:val="21"/>
        </w:rPr>
      </w:pPr>
      <w:r>
        <w:rPr>
          <w:rFonts w:hint="eastAsia" w:ascii="微软雅黑" w:hAnsi="微软雅黑" w:eastAsia="微软雅黑"/>
          <w:szCs w:val="21"/>
        </w:rPr>
        <w:t>股权激励的顶层设计</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股权激励实务操作</w:t>
      </w:r>
    </w:p>
    <w:p>
      <w:pPr>
        <w:spacing w:line="400" w:lineRule="exact"/>
        <w:rPr>
          <w:rFonts w:ascii="微软雅黑" w:hAnsi="微软雅黑" w:eastAsia="微软雅黑"/>
          <w:b/>
          <w:szCs w:val="21"/>
        </w:rPr>
      </w:pPr>
      <w:r>
        <w:rPr>
          <w:rFonts w:hint="eastAsia" w:ascii="微软雅黑" w:hAnsi="微软雅黑" w:eastAsia="微软雅黑"/>
          <w:b/>
          <w:szCs w:val="21"/>
        </w:rPr>
        <w:t xml:space="preserve">模块十三 </w:t>
      </w:r>
      <w:bookmarkStart w:id="0" w:name="_Hlk23263470"/>
      <w:r>
        <w:rPr>
          <w:rFonts w:hint="eastAsia" w:ascii="微软雅黑" w:hAnsi="微软雅黑" w:eastAsia="微软雅黑"/>
          <w:b/>
          <w:szCs w:val="21"/>
        </w:rPr>
        <w:t>资本运作全流程管理</w:t>
      </w:r>
      <w:bookmarkEnd w:id="0"/>
    </w:p>
    <w:p>
      <w:pPr>
        <w:widowControl/>
        <w:spacing w:line="400" w:lineRule="exact"/>
        <w:ind w:left="420"/>
        <w:jc w:val="left"/>
        <w:rPr>
          <w:rFonts w:ascii="微软雅黑" w:hAnsi="微软雅黑" w:eastAsia="微软雅黑"/>
          <w:szCs w:val="21"/>
        </w:rPr>
      </w:pPr>
      <w:bookmarkStart w:id="1" w:name="_Hlk522360088"/>
      <w:r>
        <w:rPr>
          <w:rFonts w:hint="eastAsia" w:ascii="微软雅黑" w:hAnsi="微软雅黑" w:eastAsia="微软雅黑"/>
          <w:szCs w:val="21"/>
        </w:rPr>
        <w:t>金融改革背景下的中国资本市场</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企业生命周期的基本逻辑</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创业投资的本源及基本路径</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创投标的的选择及企业的自我修炼</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场内交易市场的基本特征及趋势</w:t>
      </w:r>
    </w:p>
    <w:p>
      <w:pPr>
        <w:widowControl/>
        <w:spacing w:line="400" w:lineRule="exact"/>
        <w:ind w:left="420"/>
        <w:jc w:val="left"/>
        <w:rPr>
          <w:rFonts w:ascii="微软雅黑" w:hAnsi="微软雅黑" w:eastAsia="微软雅黑"/>
          <w:szCs w:val="21"/>
        </w:rPr>
      </w:pPr>
      <w:r>
        <w:rPr>
          <w:rFonts w:hint="eastAsia" w:ascii="微软雅黑" w:hAnsi="微软雅黑" w:eastAsia="微软雅黑"/>
          <w:szCs w:val="21"/>
        </w:rPr>
        <w:t>场外交易市场与新三板</w:t>
      </w:r>
    </w:p>
    <w:p>
      <w:pPr>
        <w:widowControl/>
        <w:spacing w:line="400" w:lineRule="exact"/>
        <w:ind w:left="420"/>
        <w:jc w:val="left"/>
        <w:rPr>
          <w:rFonts w:ascii="微软雅黑" w:hAnsi="微软雅黑" w:eastAsia="微软雅黑"/>
          <w:szCs w:val="21"/>
        </w:rPr>
      </w:pPr>
      <w:r>
        <w:rPr>
          <w:rFonts w:ascii="微软雅黑" w:hAnsi="微软雅黑" w:eastAsia="微软雅黑"/>
          <w:szCs w:val="21"/>
        </w:rPr>
        <w:t>A</w:t>
      </w:r>
      <w:r>
        <w:rPr>
          <w:rFonts w:hint="eastAsia" w:ascii="微软雅黑" w:hAnsi="微软雅黑" w:eastAsia="微软雅黑"/>
          <w:szCs w:val="21"/>
        </w:rPr>
        <w:t>股上市理论与实务</w:t>
      </w:r>
      <w:bookmarkEnd w:id="1"/>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授课师资</w:t>
      </w:r>
    </w:p>
    <w:p>
      <w:pPr>
        <w:spacing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64384" behindDoc="0" locked="0" layoutInCell="1" allowOverlap="1">
            <wp:simplePos x="0" y="0"/>
            <wp:positionH relativeFrom="margin">
              <wp:posOffset>0</wp:posOffset>
            </wp:positionH>
            <wp:positionV relativeFrom="paragraph">
              <wp:posOffset>10160</wp:posOffset>
            </wp:positionV>
            <wp:extent cx="800100" cy="1085850"/>
            <wp:effectExtent l="19050" t="0" r="0" b="0"/>
            <wp:wrapSquare wrapText="bothSides"/>
            <wp:docPr id="11" name="图片 3" descr="徐经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徐经长"/>
                    <pic:cNvPicPr>
                      <a:picLocks noChangeAspect="1" noChangeArrowheads="1"/>
                    </pic:cNvPicPr>
                  </pic:nvPicPr>
                  <pic:blipFill>
                    <a:blip r:embed="rId6" cstate="print"/>
                    <a:srcRect/>
                    <a:stretch>
                      <a:fillRect/>
                    </a:stretch>
                  </pic:blipFill>
                  <pic:spPr>
                    <a:xfrm>
                      <a:off x="0" y="0"/>
                      <a:ext cx="800100" cy="1085850"/>
                    </a:xfrm>
                    <a:prstGeom prst="rect">
                      <a:avLst/>
                    </a:prstGeom>
                    <a:noFill/>
                    <a:ln w="9525">
                      <a:noFill/>
                      <a:miter lim="800000"/>
                      <a:headEnd/>
                      <a:tailEnd/>
                    </a:ln>
                  </pic:spPr>
                </pic:pic>
              </a:graphicData>
            </a:graphic>
          </wp:anchor>
        </w:drawing>
      </w:r>
      <w:r>
        <w:rPr>
          <w:rFonts w:hint="eastAsia" w:ascii="微软雅黑" w:hAnsi="微软雅黑" w:eastAsia="微软雅黑" w:cs="Arial"/>
          <w:b/>
          <w:szCs w:val="21"/>
        </w:rPr>
        <w:t xml:space="preserve">徐经长 </w:t>
      </w:r>
      <w:r>
        <w:rPr>
          <w:rFonts w:hint="eastAsia" w:ascii="微软雅黑" w:hAnsi="微软雅黑" w:eastAsia="微软雅黑" w:cs="Arial"/>
          <w:szCs w:val="21"/>
        </w:rPr>
        <w:t xml:space="preserve"> 中国人民大学商学院会计系主任、中国证监会并购重组审核委员会委员、召集人。中国人民大学商学院教授、博士生导师，中国会计学会财务成本分会副会长，北新建材、全聚德等多家公司独立董事，主持国家级基金多项，发表论文百余篇，多次获中国人民大学十大教学标兵。</w:t>
      </w:r>
    </w:p>
    <w:p>
      <w:pPr>
        <w:spacing w:line="400" w:lineRule="exact"/>
        <w:jc w:val="left"/>
        <w:rPr>
          <w:rFonts w:ascii="微软雅黑" w:hAnsi="微软雅黑" w:eastAsia="微软雅黑" w:cs="Arial"/>
          <w:szCs w:val="21"/>
        </w:rPr>
      </w:pPr>
    </w:p>
    <w:p>
      <w:pPr>
        <w:widowControl/>
        <w:spacing w:line="400" w:lineRule="exact"/>
        <w:jc w:val="lef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48000" behindDoc="0" locked="0" layoutInCell="1" allowOverlap="1">
            <wp:simplePos x="0" y="0"/>
            <wp:positionH relativeFrom="margin">
              <wp:posOffset>-12700</wp:posOffset>
            </wp:positionH>
            <wp:positionV relativeFrom="paragraph">
              <wp:posOffset>74930</wp:posOffset>
            </wp:positionV>
            <wp:extent cx="814070" cy="1104900"/>
            <wp:effectExtent l="0" t="0" r="8890" b="762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4070" cy="1104900"/>
                    </a:xfrm>
                    <a:prstGeom prst="rect">
                      <a:avLst/>
                    </a:prstGeom>
                  </pic:spPr>
                </pic:pic>
              </a:graphicData>
            </a:graphic>
          </wp:anchor>
        </w:drawing>
      </w:r>
      <w:r>
        <w:rPr>
          <w:rFonts w:hint="eastAsia" w:ascii="微软雅黑" w:hAnsi="微软雅黑" w:eastAsia="微软雅黑" w:cs="Arial"/>
          <w:b/>
          <w:szCs w:val="21"/>
        </w:rPr>
        <w:t>余兴</w:t>
      </w:r>
      <w:r>
        <w:rPr>
          <w:rFonts w:ascii="微软雅黑" w:hAnsi="微软雅黑" w:eastAsia="微软雅黑" w:cs="Arial"/>
          <w:b/>
          <w:szCs w:val="21"/>
        </w:rPr>
        <w:t>喜</w:t>
      </w:r>
      <w:r>
        <w:rPr>
          <w:rFonts w:hint="eastAsia" w:ascii="微软雅黑" w:hAnsi="微软雅黑" w:eastAsia="微软雅黑" w:cs="Arial"/>
          <w:szCs w:val="21"/>
        </w:rPr>
        <w:t xml:space="preserve"> 北京上市公司协会秘书长，曾任A+H上市公司中国铁建董事会秘书、公司秘书。会计学专业硕士研究生，管理学硕士，高级会计师,具有中国注册会计师资格、中国注册税务师资格、企业法律顾问执业资格和基金业从业资格，具有丰富的财务、会计、金融和企业管理等方面的专业知识和经验，发表专业论文五十多篇。在董秘职务上获得四十多个奖项，包括唯一的新浪财经金牌董秘“终身荣誉奖”、“中国十大董秘”、新财富“金牌董秘名人堂”、金牌董秘“十佳资本运作”奖等重要奖项。</w:t>
      </w:r>
    </w:p>
    <w:p>
      <w:pPr>
        <w:spacing w:before="156" w:beforeLines="50" w:line="400" w:lineRule="exact"/>
        <w:jc w:val="lef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67456" behindDoc="1" locked="0" layoutInCell="1" allowOverlap="1">
            <wp:simplePos x="0" y="0"/>
            <wp:positionH relativeFrom="column">
              <wp:posOffset>-66040</wp:posOffset>
            </wp:positionH>
            <wp:positionV relativeFrom="paragraph">
              <wp:posOffset>76200</wp:posOffset>
            </wp:positionV>
            <wp:extent cx="869950" cy="1158240"/>
            <wp:effectExtent l="0" t="0" r="6350" b="3810"/>
            <wp:wrapTight wrapText="bothSides">
              <wp:wrapPolygon>
                <wp:start x="0" y="0"/>
                <wp:lineTo x="0" y="21316"/>
                <wp:lineTo x="21285" y="21316"/>
                <wp:lineTo x="21285"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869950" cy="1158240"/>
                    </a:xfrm>
                    <a:prstGeom prst="rect">
                      <a:avLst/>
                    </a:prstGeom>
                    <a:noFill/>
                    <a:ln>
                      <a:noFill/>
                    </a:ln>
                  </pic:spPr>
                </pic:pic>
              </a:graphicData>
            </a:graphic>
          </wp:anchor>
        </w:drawing>
      </w:r>
      <w:r>
        <w:rPr>
          <w:rFonts w:hint="eastAsia" w:ascii="微软雅黑" w:hAnsi="微软雅黑" w:eastAsia="微软雅黑" w:cs="Arial"/>
          <w:b/>
          <w:szCs w:val="21"/>
        </w:rPr>
        <w:t>黄  嵩</w:t>
      </w:r>
      <w:r>
        <w:rPr>
          <w:rFonts w:hint="eastAsia" w:ascii="微软雅黑" w:hAnsi="微软雅黑" w:eastAsia="微软雅黑" w:cs="Arial"/>
          <w:szCs w:val="21"/>
        </w:rPr>
        <w:t xml:space="preserve">  北京大学金融与产业发展研究中心秘书长，北大金融学副教授，主要从事股权投资基金、资本市场与投资银行学领域的研究与实践，在资本领域有丰富的实践经验，操作过数十个私募股权投资、兼并与收购、企业上市等方面的资本市场项目，并担任多家公司的顾问。</w:t>
      </w:r>
    </w:p>
    <w:p>
      <w:pPr>
        <w:spacing w:before="312" w:beforeLines="100"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43904" behindDoc="0" locked="0" layoutInCell="1" allowOverlap="1">
            <wp:simplePos x="0" y="0"/>
            <wp:positionH relativeFrom="margin">
              <wp:posOffset>-49530</wp:posOffset>
            </wp:positionH>
            <wp:positionV relativeFrom="paragraph">
              <wp:posOffset>363220</wp:posOffset>
            </wp:positionV>
            <wp:extent cx="850900" cy="1155065"/>
            <wp:effectExtent l="0" t="0" r="2540" b="3175"/>
            <wp:wrapSquare wrapText="bothSides"/>
            <wp:docPr id="22" name="图片 4" descr="刘东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刘东明"/>
                    <pic:cNvPicPr>
                      <a:picLocks noChangeAspect="1" noChangeArrowheads="1"/>
                    </pic:cNvPicPr>
                  </pic:nvPicPr>
                  <pic:blipFill>
                    <a:blip r:embed="rId9" cstate="print"/>
                    <a:srcRect/>
                    <a:stretch>
                      <a:fillRect/>
                    </a:stretch>
                  </pic:blipFill>
                  <pic:spPr>
                    <a:xfrm>
                      <a:off x="0" y="0"/>
                      <a:ext cx="850900" cy="1155065"/>
                    </a:xfrm>
                    <a:prstGeom prst="rect">
                      <a:avLst/>
                    </a:prstGeom>
                    <a:noFill/>
                    <a:ln w="9525">
                      <a:noFill/>
                      <a:miter lim="800000"/>
                      <a:headEnd/>
                      <a:tailEnd/>
                    </a:ln>
                  </pic:spPr>
                </pic:pic>
              </a:graphicData>
            </a:graphic>
          </wp:anchor>
        </w:drawing>
      </w:r>
      <w:r>
        <w:rPr>
          <w:rFonts w:hint="eastAsia" w:ascii="微软雅黑" w:hAnsi="微软雅黑" w:eastAsia="微软雅黑" w:cs="Arial"/>
          <w:b/>
          <w:szCs w:val="21"/>
        </w:rPr>
        <w:t xml:space="preserve">刘东明  </w:t>
      </w:r>
      <w:r>
        <w:rPr>
          <w:rFonts w:ascii="微软雅黑" w:hAnsi="微软雅黑" w:eastAsia="微软雅黑" w:cs="Arial"/>
          <w:szCs w:val="21"/>
        </w:rPr>
        <w:t>中国人民大学商学院教授，</w:t>
      </w:r>
      <w:r>
        <w:rPr>
          <w:rFonts w:hint="eastAsia" w:ascii="微软雅黑" w:hAnsi="微软雅黑" w:eastAsia="微软雅黑" w:cs="Arial"/>
          <w:szCs w:val="21"/>
        </w:rPr>
        <w:t>院长助理。</w:t>
      </w:r>
      <w:r>
        <w:rPr>
          <w:rFonts w:ascii="微软雅黑" w:hAnsi="微软雅黑" w:eastAsia="微软雅黑" w:cs="Arial"/>
          <w:szCs w:val="21"/>
        </w:rPr>
        <w:t>在中国嘉陵集团做博士后研究，研究课题是集团公司财务管理体系的构建。曾担任重庆普金软件股份有限公司财务总监、重庆普金广告传媒有限公司董事长。</w:t>
      </w:r>
    </w:p>
    <w:p>
      <w:pPr>
        <w:spacing w:before="312" w:beforeLines="100" w:line="400" w:lineRule="exact"/>
        <w:jc w:val="left"/>
        <w:rPr>
          <w:rFonts w:ascii="微软雅黑" w:hAnsi="微软雅黑" w:eastAsia="微软雅黑" w:cs="宋体"/>
          <w:b/>
          <w:color w:val="000000"/>
          <w:szCs w:val="21"/>
        </w:rPr>
      </w:pPr>
    </w:p>
    <w:p>
      <w:pPr>
        <w:spacing w:before="312" w:beforeLines="100" w:line="400" w:lineRule="exact"/>
        <w:jc w:val="left"/>
        <w:rPr>
          <w:rFonts w:ascii="微软雅黑" w:hAnsi="微软雅黑" w:eastAsia="微软雅黑" w:cs="Arial"/>
          <w:szCs w:val="21"/>
        </w:rPr>
      </w:pPr>
      <w:bookmarkStart w:id="2" w:name="_GoBack"/>
      <w:r>
        <w:rPr>
          <w:rFonts w:hint="eastAsia" w:ascii="微软雅黑" w:hAnsi="微软雅黑" w:eastAsia="微软雅黑" w:cs="宋体"/>
          <w:b/>
          <w:color w:val="000000"/>
        </w:rPr>
        <w:drawing>
          <wp:anchor distT="0" distB="0" distL="114300" distR="114300" simplePos="0" relativeHeight="251666432" behindDoc="1" locked="0" layoutInCell="1" allowOverlap="1">
            <wp:simplePos x="0" y="0"/>
            <wp:positionH relativeFrom="column">
              <wp:posOffset>-1061720</wp:posOffset>
            </wp:positionH>
            <wp:positionV relativeFrom="paragraph">
              <wp:posOffset>276860</wp:posOffset>
            </wp:positionV>
            <wp:extent cx="827405" cy="1165860"/>
            <wp:effectExtent l="0" t="0" r="0" b="0"/>
            <wp:wrapTight wrapText="bothSides">
              <wp:wrapPolygon>
                <wp:start x="0" y="0"/>
                <wp:lineTo x="0" y="21176"/>
                <wp:lineTo x="20887" y="21176"/>
                <wp:lineTo x="20887"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405" cy="1165860"/>
                    </a:xfrm>
                    <a:prstGeom prst="rect">
                      <a:avLst/>
                    </a:prstGeom>
                  </pic:spPr>
                </pic:pic>
              </a:graphicData>
            </a:graphic>
          </wp:anchor>
        </w:drawing>
      </w:r>
      <w:bookmarkEnd w:id="2"/>
      <w:r>
        <w:rPr>
          <w:rFonts w:hint="eastAsia" w:ascii="微软雅黑" w:hAnsi="微软雅黑" w:eastAsia="微软雅黑" w:cs="宋体"/>
          <w:b/>
          <w:color w:val="000000"/>
          <w:szCs w:val="21"/>
        </w:rPr>
        <w:t>方</w:t>
      </w:r>
      <w:r>
        <w:rPr>
          <w:rFonts w:hint="eastAsia" w:ascii="微软雅黑" w:hAnsi="微软雅黑" w:eastAsia="微软雅黑" w:cs="Arial"/>
          <w:b/>
          <w:szCs w:val="21"/>
        </w:rPr>
        <w:t xml:space="preserve">  燕</w:t>
      </w:r>
      <w:r>
        <w:rPr>
          <w:rFonts w:hint="eastAsia" w:ascii="微软雅黑" w:hAnsi="微软雅黑" w:eastAsia="微软雅黑" w:cs="Arial"/>
          <w:szCs w:val="21"/>
        </w:rPr>
        <w:t xml:space="preserve">  毕业于中国人民大学法学院。北京金诚同达律师事务所高级合伙   人，西安分所主任，中央电视台《法律讲堂》电视普法栏目主讲律师。在公募基金、私募基金、境内外投融资、境内外上市及公司设立、改制、重组并购等业务领域具有丰富经验。先后为北京兆信、沈阳达能、陕西亚成微等数新三板挂牌和股权激励、后续融资、资产重组等项目提供法律服务。</w:t>
      </w:r>
    </w:p>
    <w:p>
      <w:pPr>
        <w:spacing w:before="312" w:beforeLines="100" w:line="400" w:lineRule="exact"/>
        <w:jc w:val="left"/>
        <w:rPr>
          <w:rFonts w:ascii="微软雅黑" w:hAnsi="微软雅黑" w:eastAsia="微软雅黑" w:cs="Arial"/>
          <w:szCs w:val="21"/>
        </w:rPr>
      </w:pPr>
    </w:p>
    <w:p>
      <w:pPr>
        <w:spacing w:before="312" w:beforeLines="100" w:line="400" w:lineRule="exact"/>
        <w:jc w:val="left"/>
        <w:rPr>
          <w:rFonts w:ascii="微软雅黑" w:hAnsi="微软雅黑" w:eastAsia="微软雅黑" w:cs="Arial"/>
          <w:szCs w:val="21"/>
        </w:rPr>
      </w:pPr>
      <w:r>
        <w:rPr>
          <w:rFonts w:hint="eastAsia" w:ascii="微软雅黑" w:hAnsi="微软雅黑" w:eastAsia="微软雅黑" w:cs="Arial"/>
          <w:b/>
          <w:szCs w:val="21"/>
        </w:rPr>
        <w:drawing>
          <wp:anchor distT="0" distB="0" distL="114300" distR="114300" simplePos="0" relativeHeight="251665408" behindDoc="0" locked="0" layoutInCell="1" allowOverlap="1">
            <wp:simplePos x="0" y="0"/>
            <wp:positionH relativeFrom="margin">
              <wp:posOffset>-6350</wp:posOffset>
            </wp:positionH>
            <wp:positionV relativeFrom="paragraph">
              <wp:posOffset>55880</wp:posOffset>
            </wp:positionV>
            <wp:extent cx="825500" cy="1238250"/>
            <wp:effectExtent l="0" t="0" r="12700" b="11430"/>
            <wp:wrapSquare wrapText="bothSides"/>
            <wp:docPr id="12" name="图片 39" descr="胡百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9" descr="胡百精.jpg"/>
                    <pic:cNvPicPr>
                      <a:picLocks noChangeAspect="1"/>
                    </pic:cNvPicPr>
                  </pic:nvPicPr>
                  <pic:blipFill>
                    <a:blip r:embed="rId11" cstate="print"/>
                    <a:stretch>
                      <a:fillRect/>
                    </a:stretch>
                  </pic:blipFill>
                  <pic:spPr>
                    <a:xfrm>
                      <a:off x="0" y="0"/>
                      <a:ext cx="825500" cy="1238250"/>
                    </a:xfrm>
                    <a:prstGeom prst="rect">
                      <a:avLst/>
                    </a:prstGeom>
                  </pic:spPr>
                </pic:pic>
              </a:graphicData>
            </a:graphic>
          </wp:anchor>
        </w:drawing>
      </w:r>
      <w:r>
        <w:rPr>
          <w:rFonts w:hint="eastAsia" w:ascii="微软雅黑" w:hAnsi="微软雅黑" w:eastAsia="微软雅黑" w:cs="Arial"/>
          <w:b/>
          <w:szCs w:val="21"/>
        </w:rPr>
        <w:t>胡百精</w:t>
      </w:r>
      <w:r>
        <w:rPr>
          <w:rFonts w:hint="eastAsia" w:ascii="微软雅黑" w:hAnsi="微软雅黑" w:eastAsia="微软雅黑" w:cs="Arial"/>
          <w:szCs w:val="21"/>
        </w:rPr>
        <w:t xml:space="preserve"> 中国人民大学新闻学院教授、博导，执行院长，公共传播研究所所长。研究课题：新媒体时代公共舆论中的表达理性研究等；横向课题：社交媒体与社会认同研究、后现代、消费文化与社会认同研究、央企品牌建设与公共关系理论研究、集体记忆与文化认同研究、中国危机管理年度系列报告等。</w:t>
      </w:r>
    </w:p>
    <w:p>
      <w:pPr>
        <w:spacing w:before="312" w:beforeLines="100" w:line="400" w:lineRule="exact"/>
        <w:jc w:val="left"/>
        <w:rPr>
          <w:rFonts w:ascii="微软雅黑" w:hAnsi="微软雅黑" w:eastAsia="微软雅黑" w:cs="Arial"/>
          <w:szCs w:val="21"/>
        </w:rPr>
      </w:pPr>
    </w:p>
    <w:p>
      <w:pPr>
        <w:spacing w:before="312" w:beforeLines="100" w:line="400" w:lineRule="exact"/>
        <w:rPr>
          <w:rFonts w:ascii="微软雅黑" w:hAnsi="微软雅黑" w:eastAsia="微软雅黑" w:cs="Arial"/>
          <w:szCs w:val="21"/>
        </w:rPr>
      </w:pPr>
      <w:r>
        <w:rPr>
          <w:rFonts w:ascii="微软雅黑" w:hAnsi="微软雅黑" w:eastAsia="微软雅黑" w:cs="Arial"/>
          <w:b/>
          <w:szCs w:val="21"/>
        </w:rPr>
        <w:drawing>
          <wp:anchor distT="0" distB="0" distL="114300" distR="114300" simplePos="0" relativeHeight="251646976" behindDoc="1" locked="0" layoutInCell="1" allowOverlap="1">
            <wp:simplePos x="0" y="0"/>
            <wp:positionH relativeFrom="margin">
              <wp:posOffset>0</wp:posOffset>
            </wp:positionH>
            <wp:positionV relativeFrom="paragraph">
              <wp:posOffset>47625</wp:posOffset>
            </wp:positionV>
            <wp:extent cx="842010" cy="1092835"/>
            <wp:effectExtent l="0" t="0" r="0" b="0"/>
            <wp:wrapTight wrapText="bothSides">
              <wp:wrapPolygon>
                <wp:start x="0" y="0"/>
                <wp:lineTo x="0" y="21387"/>
                <wp:lineTo x="21111" y="21387"/>
                <wp:lineTo x="21111"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1092835"/>
                    </a:xfrm>
                    <a:prstGeom prst="rect">
                      <a:avLst/>
                    </a:prstGeom>
                  </pic:spPr>
                </pic:pic>
              </a:graphicData>
            </a:graphic>
          </wp:anchor>
        </w:drawing>
      </w:r>
      <w:r>
        <w:rPr>
          <w:rFonts w:hint="eastAsia" w:ascii="微软雅黑" w:hAnsi="微软雅黑" w:eastAsia="微软雅黑" w:cs="Arial"/>
          <w:b/>
          <w:szCs w:val="21"/>
        </w:rPr>
        <w:t>黄 河</w:t>
      </w:r>
      <w:r>
        <w:rPr>
          <w:rFonts w:hint="eastAsia" w:ascii="微软雅黑" w:hAnsi="微软雅黑" w:eastAsia="微软雅黑" w:cs="Arial"/>
          <w:szCs w:val="21"/>
        </w:rPr>
        <w:t xml:space="preserve">  新媒体研究所副所长，副教授，新闻与社会发展研究中心研究员，人大-国资委国有企业形象建设研究院研究员</w:t>
      </w:r>
      <w:r>
        <w:rPr>
          <w:rFonts w:ascii="微软雅黑" w:hAnsi="微软雅黑" w:eastAsia="微软雅黑" w:cs="Arial"/>
          <w:szCs w:val="21"/>
        </w:rPr>
        <w:t xml:space="preserve"> </w:t>
      </w:r>
      <w:r>
        <w:rPr>
          <w:rFonts w:hint="eastAsia" w:ascii="微软雅黑" w:hAnsi="微软雅黑" w:eastAsia="微软雅黑" w:cs="Arial"/>
          <w:szCs w:val="21"/>
        </w:rPr>
        <w:t>研究方向：政府新媒体传播、风险沟通、新媒体营销、环境传播。</w:t>
      </w:r>
    </w:p>
    <w:p>
      <w:pPr>
        <w:spacing w:before="312" w:beforeLines="100" w:line="400" w:lineRule="exact"/>
        <w:rPr>
          <w:rFonts w:ascii="微软雅黑" w:hAnsi="微软雅黑" w:eastAsia="微软雅黑" w:cs="Arial"/>
          <w:szCs w:val="21"/>
        </w:rPr>
      </w:pPr>
      <w:r>
        <w:rPr>
          <w:rFonts w:hint="eastAsia" w:ascii="微软雅黑" w:hAnsi="微软雅黑" w:eastAsia="微软雅黑" w:cs="Arial"/>
          <w:szCs w:val="21"/>
        </w:rPr>
        <w:drawing>
          <wp:anchor distT="0" distB="0" distL="114300" distR="114300" simplePos="0" relativeHeight="251644928" behindDoc="0" locked="0" layoutInCell="1" allowOverlap="1">
            <wp:simplePos x="0" y="0"/>
            <wp:positionH relativeFrom="margin">
              <wp:posOffset>-6350</wp:posOffset>
            </wp:positionH>
            <wp:positionV relativeFrom="paragraph">
              <wp:posOffset>442595</wp:posOffset>
            </wp:positionV>
            <wp:extent cx="833120" cy="1071245"/>
            <wp:effectExtent l="0" t="0" r="5080" b="10795"/>
            <wp:wrapSquare wrapText="bothSides"/>
            <wp:docPr id="16" name="图片 16" descr="C:\Documents and Settings\fanglili\Application Data\Tencent\Users\582397\QQ\WinTemp\RichOle\PD[X{A2[F7T26CHNF}%9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Documents and Settings\fanglili\Application Data\Tencent\Users\582397\QQ\WinTemp\RichOle\PD[X{A2[F7T26CHNF}%9EID.jpg"/>
                    <pic:cNvPicPr>
                      <a:picLocks noChangeAspect="1" noChangeArrowheads="1"/>
                    </pic:cNvPicPr>
                  </pic:nvPicPr>
                  <pic:blipFill>
                    <a:blip r:embed="rId13" r:link="rId14" cstate="print"/>
                    <a:srcRect/>
                    <a:stretch>
                      <a:fillRect/>
                    </a:stretch>
                  </pic:blipFill>
                  <pic:spPr>
                    <a:xfrm>
                      <a:off x="0" y="0"/>
                      <a:ext cx="833120" cy="1071245"/>
                    </a:xfrm>
                    <a:prstGeom prst="rect">
                      <a:avLst/>
                    </a:prstGeom>
                    <a:noFill/>
                    <a:ln w="9525">
                      <a:noFill/>
                      <a:miter lim="800000"/>
                      <a:headEnd/>
                      <a:tailEnd/>
                    </a:ln>
                  </pic:spPr>
                </pic:pic>
              </a:graphicData>
            </a:graphic>
          </wp:anchor>
        </w:drawing>
      </w:r>
      <w:r>
        <w:rPr>
          <w:rFonts w:hint="eastAsia" w:ascii="微软雅黑" w:hAnsi="微软雅黑" w:eastAsia="微软雅黑" w:cs="Arial"/>
          <w:b/>
          <w:bCs/>
          <w:szCs w:val="21"/>
        </w:rPr>
        <w:t xml:space="preserve">刘松博 </w:t>
      </w:r>
      <w:r>
        <w:rPr>
          <w:rFonts w:hint="eastAsia" w:ascii="微软雅黑" w:hAnsi="微软雅黑" w:eastAsia="微软雅黑" w:cs="宋体"/>
          <w:kern w:val="0"/>
          <w:szCs w:val="21"/>
        </w:rPr>
        <w:t>中国人民大学劳动人事学院教授，美国管理学会（AOM）会员，中国管理研究国际学会（IACMR）会员。研究方向涉及人力资源管理、股权激励、战略管理与领导学。多家咨询公司及培训机构顾问。注重理论结合实践，曾为数百家各级各类政府部门与企事业单位提供咨询和培训服务。</w:t>
      </w: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54144" behindDoc="0" locked="0" layoutInCell="1" allowOverlap="1">
            <wp:simplePos x="0" y="0"/>
            <wp:positionH relativeFrom="margin">
              <wp:align>left</wp:align>
            </wp:positionH>
            <wp:positionV relativeFrom="paragraph">
              <wp:posOffset>195580</wp:posOffset>
            </wp:positionV>
            <wp:extent cx="800735" cy="1048385"/>
            <wp:effectExtent l="0" t="0" r="6985" b="3175"/>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735" cy="1048385"/>
                    </a:xfrm>
                    <a:prstGeom prst="rect">
                      <a:avLst/>
                    </a:prstGeom>
                  </pic:spPr>
                </pic:pic>
              </a:graphicData>
            </a:graphic>
          </wp:anchor>
        </w:drawing>
      </w:r>
      <w:r>
        <w:rPr>
          <w:rFonts w:hint="eastAsia" w:ascii="微软雅黑" w:hAnsi="微软雅黑" w:eastAsia="微软雅黑"/>
          <w:b/>
          <w:szCs w:val="21"/>
        </w:rPr>
        <w:t xml:space="preserve">袁 立 </w:t>
      </w:r>
      <w:r>
        <w:rPr>
          <w:rFonts w:hint="eastAsia" w:ascii="微软雅黑" w:hAnsi="微软雅黑" w:eastAsia="微软雅黑"/>
          <w:szCs w:val="21"/>
        </w:rPr>
        <w:t>北京化工大学教授，博导；资深投资银行家；毕业于中国人民大学，先后在北京公共汽车大修厂任生产调度、香港恒胜国际集团任财务总监、瑞德投资公司任副总经理、北京天则所咨询有限公司任副总经理、北京信勤管理咨询有限公司任执行董事。</w:t>
      </w:r>
    </w:p>
    <w:p>
      <w:pPr>
        <w:spacing w:before="312" w:beforeLines="100"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69504" behindDoc="0" locked="0" layoutInCell="1" allowOverlap="1">
            <wp:simplePos x="0" y="0"/>
            <wp:positionH relativeFrom="margin">
              <wp:posOffset>-69850</wp:posOffset>
            </wp:positionH>
            <wp:positionV relativeFrom="paragraph">
              <wp:posOffset>139700</wp:posOffset>
            </wp:positionV>
            <wp:extent cx="861060" cy="1024255"/>
            <wp:effectExtent l="19050" t="0" r="0" b="0"/>
            <wp:wrapSquare wrapText="bothSides"/>
            <wp:docPr id="18" name="图片 18" descr="QQ截图2018081811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截图201808181117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61060" cy="1024255"/>
                    </a:xfrm>
                    <a:prstGeom prst="rect">
                      <a:avLst/>
                    </a:prstGeom>
                    <a:noFill/>
                    <a:ln>
                      <a:noFill/>
                    </a:ln>
                  </pic:spPr>
                </pic:pic>
              </a:graphicData>
            </a:graphic>
          </wp:anchor>
        </w:drawing>
      </w:r>
      <w:r>
        <w:rPr>
          <w:rFonts w:hint="eastAsia" w:ascii="微软雅黑" w:hAnsi="微软雅黑" w:eastAsia="微软雅黑"/>
          <w:b/>
          <w:bCs/>
          <w:szCs w:val="21"/>
        </w:rPr>
        <w:t xml:space="preserve">吴申军 </w:t>
      </w:r>
      <w:r>
        <w:rPr>
          <w:rFonts w:ascii="微软雅黑" w:hAnsi="微软雅黑" w:eastAsia="微软雅黑"/>
          <w:szCs w:val="21"/>
        </w:rPr>
        <w:t xml:space="preserve"> </w:t>
      </w:r>
      <w:r>
        <w:rPr>
          <w:rFonts w:hint="eastAsia" w:ascii="微软雅黑" w:hAnsi="微软雅黑" w:eastAsia="微软雅黑"/>
          <w:szCs w:val="21"/>
        </w:rPr>
        <w:t>厦门大学经济学博士，现任北京中博财智管理咨询有限公司董事长，具有25年的财务管理和税务领域工作经验，曾先后就职于国家税务机关、四大会计师事务所、拟上市公司及世界知名管理咨询等各种类型的企业。</w:t>
      </w:r>
    </w:p>
    <w:p>
      <w:pPr>
        <w:spacing w:before="312" w:beforeLines="100" w:line="400" w:lineRule="exact"/>
        <w:rPr>
          <w:rFonts w:ascii="微软雅黑" w:hAnsi="微软雅黑" w:eastAsia="微软雅黑" w:cs="宋体"/>
          <w:color w:val="000000"/>
          <w:kern w:val="0"/>
          <w:szCs w:val="21"/>
        </w:rPr>
      </w:pPr>
      <w:r>
        <w:rPr>
          <w:rFonts w:hint="eastAsia" w:ascii="微软雅黑" w:hAnsi="微软雅黑" w:eastAsia="微软雅黑" w:cs="宋体"/>
          <w:b/>
          <w:color w:val="000000"/>
          <w:kern w:val="0"/>
          <w:szCs w:val="21"/>
        </w:rPr>
        <w:drawing>
          <wp:anchor distT="0" distB="0" distL="114300" distR="114300" simplePos="0" relativeHeight="251649024" behindDoc="1" locked="0" layoutInCell="1" allowOverlap="1">
            <wp:simplePos x="0" y="0"/>
            <wp:positionH relativeFrom="margin">
              <wp:posOffset>-33655</wp:posOffset>
            </wp:positionH>
            <wp:positionV relativeFrom="paragraph">
              <wp:posOffset>268605</wp:posOffset>
            </wp:positionV>
            <wp:extent cx="789940" cy="1134745"/>
            <wp:effectExtent l="0" t="0" r="0" b="0"/>
            <wp:wrapTight wrapText="bothSides">
              <wp:wrapPolygon>
                <wp:start x="347" y="0"/>
                <wp:lineTo x="347" y="21177"/>
                <wp:lineTo x="21600" y="21177"/>
                <wp:lineTo x="21600" y="0"/>
                <wp:lineTo x="347"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789940" cy="1134745"/>
                    </a:xfrm>
                    <a:prstGeom prst="rect">
                      <a:avLst/>
                    </a:prstGeom>
                  </pic:spPr>
                </pic:pic>
              </a:graphicData>
            </a:graphic>
          </wp:anchor>
        </w:drawing>
      </w:r>
      <w:r>
        <w:rPr>
          <w:rFonts w:hint="eastAsia" w:ascii="微软雅黑" w:hAnsi="微软雅黑" w:eastAsia="微软雅黑" w:cs="宋体"/>
          <w:b/>
          <w:color w:val="000000"/>
          <w:kern w:val="0"/>
          <w:szCs w:val="21"/>
        </w:rPr>
        <w:t xml:space="preserve">邓 路 </w:t>
      </w:r>
      <w:r>
        <w:rPr>
          <w:rFonts w:hint="eastAsia" w:ascii="微软雅黑" w:hAnsi="微软雅黑" w:eastAsia="微软雅黑" w:cs="宋体"/>
          <w:color w:val="000000"/>
          <w:kern w:val="0"/>
          <w:szCs w:val="21"/>
        </w:rPr>
        <w:t>人大</w:t>
      </w:r>
      <w:r>
        <w:rPr>
          <w:rFonts w:ascii="微软雅黑" w:hAnsi="微软雅黑" w:eastAsia="微软雅黑" w:cs="宋体"/>
          <w:color w:val="000000"/>
          <w:kern w:val="0"/>
          <w:szCs w:val="21"/>
        </w:rPr>
        <w:t>商学院</w:t>
      </w:r>
      <w:r>
        <w:rPr>
          <w:rFonts w:hint="eastAsia" w:ascii="微软雅黑" w:hAnsi="微软雅黑" w:eastAsia="微软雅黑" w:cs="宋体"/>
          <w:color w:val="000000"/>
          <w:kern w:val="0"/>
          <w:szCs w:val="21"/>
        </w:rPr>
        <w:t>管理学博士，香港中文大学博士后。研究公司财务与行为金融、资本运作与公司治理、股权</w:t>
      </w:r>
      <w:r>
        <w:rPr>
          <w:rFonts w:ascii="微软雅黑" w:hAnsi="微软雅黑" w:eastAsia="微软雅黑" w:cs="宋体"/>
          <w:color w:val="000000"/>
          <w:kern w:val="0"/>
          <w:szCs w:val="21"/>
        </w:rPr>
        <w:t>激励、</w:t>
      </w:r>
      <w:r>
        <w:rPr>
          <w:rFonts w:hint="eastAsia" w:ascii="微软雅黑" w:hAnsi="微软雅黑" w:eastAsia="微软雅黑" w:cs="宋体"/>
          <w:color w:val="000000"/>
          <w:kern w:val="0"/>
          <w:szCs w:val="21"/>
        </w:rPr>
        <w:t>管理会计与税收筹划等相关领域。在北京航空航天大学经管学院任教。</w:t>
      </w:r>
    </w:p>
    <w:p>
      <w:pPr>
        <w:spacing w:before="312" w:beforeLines="100" w:line="400" w:lineRule="exact"/>
        <w:rPr>
          <w:rFonts w:ascii="微软雅黑" w:hAnsi="微软雅黑" w:eastAsia="微软雅黑" w:cs="宋体"/>
          <w:color w:val="000000"/>
          <w:kern w:val="0"/>
          <w:szCs w:val="21"/>
        </w:rPr>
      </w:pP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68480" behindDoc="1" locked="0" layoutInCell="1" allowOverlap="1">
            <wp:simplePos x="0" y="0"/>
            <wp:positionH relativeFrom="column">
              <wp:posOffset>-28575</wp:posOffset>
            </wp:positionH>
            <wp:positionV relativeFrom="paragraph">
              <wp:posOffset>68580</wp:posOffset>
            </wp:positionV>
            <wp:extent cx="866775" cy="1059180"/>
            <wp:effectExtent l="0" t="0" r="0" b="0"/>
            <wp:wrapTight wrapText="bothSides">
              <wp:wrapPolygon>
                <wp:start x="0" y="0"/>
                <wp:lineTo x="0" y="21367"/>
                <wp:lineTo x="21363" y="21367"/>
                <wp:lineTo x="21363" y="0"/>
                <wp:lineTo x="0"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866775" cy="1059180"/>
                    </a:xfrm>
                    <a:prstGeom prst="rect">
                      <a:avLst/>
                    </a:prstGeom>
                  </pic:spPr>
                </pic:pic>
              </a:graphicData>
            </a:graphic>
          </wp:anchor>
        </w:drawing>
      </w:r>
      <w:r>
        <w:rPr>
          <w:rFonts w:hint="eastAsia" w:ascii="微软雅黑" w:hAnsi="微软雅黑" w:eastAsia="微软雅黑"/>
          <w:b/>
          <w:szCs w:val="21"/>
        </w:rPr>
        <w:t xml:space="preserve">胡 邓 </w:t>
      </w:r>
      <w:r>
        <w:rPr>
          <w:rFonts w:hint="eastAsia" w:ascii="微软雅黑" w:hAnsi="微软雅黑" w:eastAsia="微软雅黑"/>
          <w:szCs w:val="21"/>
        </w:rPr>
        <w:t>现任中国人民大学心理健康教育与咨询中心主任、副教授，长期从事青少年心理健康教育和心理咨询工作，拥有丰富的培训及项目实施经验。中央文明办、卫生部全国“相约健康社区行”特聘专家，中央国家机关职工心理咨询中心特聘专家，德国埃里克森催眠学会（MEG）两年专业培训的催眠治疗师。</w:t>
      </w:r>
    </w:p>
    <w:p>
      <w:pPr>
        <w:spacing w:before="156" w:beforeLines="50" w:line="400" w:lineRule="exact"/>
        <w:rPr>
          <w:rFonts w:ascii="微软雅黑" w:hAnsi="微软雅黑" w:eastAsia="微软雅黑"/>
          <w:szCs w:val="21"/>
        </w:rPr>
      </w:pPr>
      <w:r>
        <w:rPr>
          <w:rFonts w:ascii="微软雅黑" w:hAnsi="微软雅黑" w:eastAsia="微软雅黑"/>
          <w:b/>
          <w:szCs w:val="21"/>
        </w:rPr>
        <w:drawing>
          <wp:anchor distT="0" distB="0" distL="114300" distR="114300" simplePos="0" relativeHeight="251645952" behindDoc="0" locked="0" layoutInCell="1" allowOverlap="1">
            <wp:simplePos x="0" y="0"/>
            <wp:positionH relativeFrom="margin">
              <wp:posOffset>19050</wp:posOffset>
            </wp:positionH>
            <wp:positionV relativeFrom="paragraph">
              <wp:posOffset>125730</wp:posOffset>
            </wp:positionV>
            <wp:extent cx="805815" cy="1071880"/>
            <wp:effectExtent l="0" t="0" r="1905" b="10160"/>
            <wp:wrapSquare wrapText="bothSides"/>
            <wp:docPr id="23" name="图片 23" descr="C:\Users\user\AppData\Roaming\Tencent\Users\408092181\QQ\WinTemp\RichOle\(~9O)13IG{(KVW4ZOWEG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user\AppData\Roaming\Tencent\Users\408092181\QQ\WinTemp\RichOle\(~9O)13IG{(KVW4ZOWEG6OO.jp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a:xfrm>
                      <a:off x="0" y="0"/>
                      <a:ext cx="805815" cy="1071880"/>
                    </a:xfrm>
                    <a:prstGeom prst="rect">
                      <a:avLst/>
                    </a:prstGeom>
                    <a:noFill/>
                    <a:ln>
                      <a:noFill/>
                    </a:ln>
                  </pic:spPr>
                </pic:pic>
              </a:graphicData>
            </a:graphic>
          </wp:anchor>
        </w:drawing>
      </w:r>
      <w:r>
        <w:rPr>
          <w:rFonts w:ascii="微软雅黑" w:hAnsi="微软雅黑" w:eastAsia="微软雅黑"/>
          <w:b/>
          <w:szCs w:val="21"/>
        </w:rPr>
        <w:t>吕景胜</w:t>
      </w:r>
      <w:r>
        <w:rPr>
          <w:rFonts w:hint="eastAsia" w:ascii="微软雅黑" w:hAnsi="微软雅黑" w:eastAsia="微软雅黑"/>
          <w:b/>
          <w:szCs w:val="21"/>
        </w:rPr>
        <w:t xml:space="preserve"> </w:t>
      </w:r>
      <w:r>
        <w:rPr>
          <w:rFonts w:ascii="微软雅黑" w:hAnsi="微软雅黑" w:eastAsia="微软雅黑"/>
          <w:szCs w:val="21"/>
        </w:rPr>
        <w:t>中国人民大学商学院教授、博士生导师。</w:t>
      </w:r>
    </w:p>
    <w:p>
      <w:pPr>
        <w:spacing w:line="400" w:lineRule="exact"/>
        <w:rPr>
          <w:rFonts w:ascii="微软雅黑" w:hAnsi="微软雅黑" w:eastAsia="微软雅黑"/>
          <w:szCs w:val="21"/>
        </w:rPr>
      </w:pPr>
      <w:r>
        <w:rPr>
          <w:rFonts w:ascii="微软雅黑" w:hAnsi="微软雅黑" w:eastAsia="微软雅黑"/>
          <w:szCs w:val="21"/>
        </w:rPr>
        <w:t>研究方向：企业法律政策环境与企业法律实务</w:t>
      </w:r>
      <w:r>
        <w:rPr>
          <w:rFonts w:hint="eastAsia" w:ascii="微软雅黑" w:hAnsi="微软雅黑" w:eastAsia="微软雅黑"/>
          <w:szCs w:val="21"/>
        </w:rPr>
        <w:t>、公司治理</w:t>
      </w:r>
    </w:p>
    <w:p>
      <w:pPr>
        <w:spacing w:line="400" w:lineRule="exact"/>
        <w:rPr>
          <w:rFonts w:ascii="微软雅黑" w:hAnsi="微软雅黑" w:eastAsia="微软雅黑"/>
          <w:szCs w:val="21"/>
        </w:rPr>
      </w:pPr>
      <w:r>
        <w:rPr>
          <w:rFonts w:ascii="微软雅黑" w:hAnsi="微软雅黑" w:eastAsia="微软雅黑"/>
          <w:szCs w:val="21"/>
        </w:rPr>
        <w:t>曾为燕化集团、美的集团、齐鲁石化集团、TCL集团等50多家大型企业及政府授课并提供法律咨询。著有《经济法实务》、《经济法MBA教授案例》等。</w:t>
      </w:r>
    </w:p>
    <w:p>
      <w:pPr>
        <w:spacing w:line="400" w:lineRule="exact"/>
        <w:rPr>
          <w:rFonts w:ascii="微软雅黑" w:hAnsi="微软雅黑" w:eastAsia="微软雅黑"/>
          <w:szCs w:val="21"/>
        </w:rPr>
      </w:pPr>
    </w:p>
    <w:p>
      <w:pPr>
        <w:spacing w:before="156" w:beforeLines="50" w:line="400" w:lineRule="exact"/>
        <w:rPr>
          <w:rFonts w:ascii="微软雅黑" w:hAnsi="微软雅黑" w:eastAsia="微软雅黑"/>
          <w:szCs w:val="21"/>
        </w:rPr>
      </w:pPr>
      <w:r>
        <w:rPr>
          <w:rFonts w:ascii="微软雅黑" w:hAnsi="微软雅黑" w:eastAsia="微软雅黑"/>
          <w:b/>
          <w:szCs w:val="21"/>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792480" cy="1188720"/>
            <wp:effectExtent l="0" t="0" r="7620" b="0"/>
            <wp:wrapTight wrapText="bothSides">
              <wp:wrapPolygon>
                <wp:start x="0" y="0"/>
                <wp:lineTo x="0" y="21115"/>
                <wp:lineTo x="21288" y="21115"/>
                <wp:lineTo x="21288" y="0"/>
                <wp:lineTo x="0" y="0"/>
              </wp:wrapPolygon>
            </wp:wrapTigh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flipH="1">
                      <a:off x="0" y="0"/>
                      <a:ext cx="792480" cy="1188720"/>
                    </a:xfrm>
                    <a:prstGeom prst="rect">
                      <a:avLst/>
                    </a:prstGeom>
                    <a:noFill/>
                    <a:ln>
                      <a:noFill/>
                    </a:ln>
                  </pic:spPr>
                </pic:pic>
              </a:graphicData>
            </a:graphic>
          </wp:anchor>
        </w:drawing>
      </w:r>
      <w:r>
        <w:rPr>
          <w:rFonts w:hint="eastAsia" w:ascii="微软雅黑" w:hAnsi="微软雅黑" w:eastAsia="微软雅黑"/>
          <w:b/>
          <w:szCs w:val="21"/>
        </w:rPr>
        <w:t>鲁 伟</w:t>
      </w:r>
      <w:r>
        <w:rPr>
          <w:rFonts w:hint="eastAsia" w:ascii="微软雅黑" w:hAnsi="微软雅黑" w:eastAsia="微软雅黑"/>
          <w:szCs w:val="21"/>
        </w:rPr>
        <w:t xml:space="preserve"> 国信证券投资银行事业部副总裁、上市顾问部总经理。主持并参与了家鸿口腔、志特新材、瑞孚信等IPO项目，主持并参与了金安桥结构化融资、宇商小贷资产证券化等创新 </w:t>
      </w:r>
      <w:r>
        <w:rPr>
          <w:rFonts w:ascii="微软雅黑" w:hAnsi="微软雅黑" w:eastAsia="微软雅黑"/>
          <w:szCs w:val="21"/>
        </w:rPr>
        <w:t xml:space="preserve"> </w:t>
      </w:r>
      <w:r>
        <w:rPr>
          <w:rFonts w:hint="eastAsia" w:ascii="微软雅黑" w:hAnsi="微软雅黑" w:eastAsia="微软雅黑"/>
          <w:szCs w:val="21"/>
        </w:rPr>
        <w:t>业务，此外还主持并参与了京威股份、江西路桥等公司债业务，具备丰富的投行项目经验。</w:t>
      </w:r>
    </w:p>
    <w:p>
      <w:pPr>
        <w:spacing w:before="156" w:beforeLines="5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71552" behindDoc="1" locked="0" layoutInCell="1" allowOverlap="1">
            <wp:simplePos x="0" y="0"/>
            <wp:positionH relativeFrom="column">
              <wp:posOffset>0</wp:posOffset>
            </wp:positionH>
            <wp:positionV relativeFrom="paragraph">
              <wp:posOffset>281940</wp:posOffset>
            </wp:positionV>
            <wp:extent cx="876300" cy="1089660"/>
            <wp:effectExtent l="0" t="0" r="0" b="0"/>
            <wp:wrapTight wrapText="bothSides">
              <wp:wrapPolygon>
                <wp:start x="0" y="0"/>
                <wp:lineTo x="0" y="21147"/>
                <wp:lineTo x="21130" y="21147"/>
                <wp:lineTo x="21130" y="0"/>
                <wp:lineTo x="0" y="0"/>
              </wp:wrapPolygon>
            </wp:wrapTigh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76300" cy="1089660"/>
                    </a:xfrm>
                    <a:prstGeom prst="rect">
                      <a:avLst/>
                    </a:prstGeom>
                  </pic:spPr>
                </pic:pic>
              </a:graphicData>
            </a:graphic>
          </wp:anchor>
        </w:drawing>
      </w:r>
      <w:r>
        <w:rPr>
          <w:rFonts w:hint="eastAsia" w:ascii="微软雅黑" w:hAnsi="微软雅黑" w:eastAsia="微软雅黑"/>
          <w:b/>
          <w:szCs w:val="21"/>
        </w:rPr>
        <w:t>钟洪明</w:t>
      </w:r>
      <w:r>
        <w:rPr>
          <w:rFonts w:hint="eastAsia" w:ascii="微软雅黑" w:hAnsi="微软雅黑" w:eastAsia="微软雅黑"/>
          <w:szCs w:val="21"/>
        </w:rPr>
        <w:t xml:space="preserve">  中国</w:t>
      </w:r>
      <w:r>
        <w:rPr>
          <w:rFonts w:ascii="微软雅黑" w:hAnsi="微软雅黑" w:eastAsia="微软雅黑"/>
          <w:szCs w:val="21"/>
        </w:rPr>
        <w:t>人民</w:t>
      </w:r>
      <w:r>
        <w:rPr>
          <w:rFonts w:hint="eastAsia" w:ascii="微软雅黑" w:hAnsi="微软雅黑" w:eastAsia="微软雅黑"/>
          <w:szCs w:val="21"/>
        </w:rPr>
        <w:t>大学</w:t>
      </w:r>
      <w:r>
        <w:rPr>
          <w:rFonts w:ascii="微软雅黑" w:hAnsi="微软雅黑" w:eastAsia="微软雅黑"/>
          <w:szCs w:val="21"/>
        </w:rPr>
        <w:t>法学博士，</w:t>
      </w:r>
      <w:r>
        <w:rPr>
          <w:rFonts w:hint="eastAsia" w:ascii="微软雅黑" w:hAnsi="微软雅黑" w:eastAsia="微软雅黑"/>
          <w:szCs w:val="21"/>
        </w:rPr>
        <w:t>西南政法大学与四川省社科院联合博士后工作站研究人员。信披网络股份有限公司董事，合伙人。拥有17年资本市场经验。其中2002年8月至2013年2月在深圳证券交易所（其间2003.9-2004.12借调中国证监会发行监管部）工作，从事证券市场监管工作11年。</w:t>
      </w:r>
    </w:p>
    <w:p>
      <w:pPr>
        <w:spacing w:before="156" w:beforeLines="50" w:line="400" w:lineRule="exact"/>
        <w:rPr>
          <w:rFonts w:ascii="微软雅黑" w:hAnsi="微软雅黑" w:eastAsia="微软雅黑"/>
          <w:szCs w:val="21"/>
        </w:rPr>
      </w:pPr>
    </w:p>
    <w:p>
      <w:pPr>
        <w:spacing w:before="156" w:beforeLines="50" w:line="400" w:lineRule="exact"/>
        <w:rPr>
          <w:rFonts w:ascii="微软雅黑" w:hAnsi="微软雅黑" w:eastAsia="微软雅黑"/>
          <w:szCs w:val="21"/>
        </w:rPr>
      </w:pPr>
      <w:r>
        <w:rPr>
          <w:rFonts w:hint="eastAsia" w:ascii="微软雅黑" w:hAnsi="微软雅黑" w:eastAsia="微软雅黑"/>
          <w:b/>
          <w:bCs/>
          <w:szCs w:val="21"/>
        </w:rPr>
        <w:t>李  全</w:t>
      </w:r>
      <w:r>
        <w:rPr>
          <w:rFonts w:ascii="微软雅黑" w:hAnsi="微软雅黑" w:eastAsia="微软雅黑"/>
          <w:szCs w:val="21"/>
        </w:rPr>
        <w:drawing>
          <wp:anchor distT="0" distB="0" distL="114300" distR="114300" simplePos="0" relativeHeight="251650048" behindDoc="0" locked="1" layoutInCell="1" allowOverlap="0">
            <wp:simplePos x="0" y="0"/>
            <wp:positionH relativeFrom="margin">
              <wp:posOffset>29210</wp:posOffset>
            </wp:positionH>
            <wp:positionV relativeFrom="paragraph">
              <wp:posOffset>106680</wp:posOffset>
            </wp:positionV>
            <wp:extent cx="807085" cy="1135380"/>
            <wp:effectExtent l="0" t="0" r="0" b="0"/>
            <wp:wrapSquare wrapText="bothSides"/>
            <wp:docPr id="2" name="图片 2" descr="G:\师资介绍2015.8.30\师资介绍-整理版20150830\李全\李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师资介绍2015.8.30\师资介绍-整理版20150830\李全\李全.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07085" cy="1135380"/>
                    </a:xfrm>
                    <a:prstGeom prst="rect">
                      <a:avLst/>
                    </a:prstGeom>
                    <a:noFill/>
                    <a:ln>
                      <a:noFill/>
                    </a:ln>
                  </pic:spPr>
                </pic:pic>
              </a:graphicData>
            </a:graphic>
          </wp:anchor>
        </w:drawing>
      </w:r>
      <w:r>
        <w:rPr>
          <w:rFonts w:hint="eastAsia" w:ascii="微软雅黑" w:hAnsi="微软雅黑" w:eastAsia="微软雅黑"/>
          <w:szCs w:val="21"/>
        </w:rPr>
        <w:t xml:space="preserve"> 南开大学金融学教授；中国财政科学研究院研究生部特聘教授；长城保险首席经济学家；中国财政学会绩效管理委员会执行秘书长、投融资委员会副秘书长，微金融五十人论坛执委，互联网金融三十人成员，中关村互联网金融研究院副院长。</w:t>
      </w:r>
    </w:p>
    <w:p>
      <w:pPr>
        <w:spacing w:before="312" w:beforeLines="100" w:line="400" w:lineRule="exact"/>
        <w:rPr>
          <w:rFonts w:ascii="微软雅黑" w:hAnsi="微软雅黑" w:eastAsia="微软雅黑"/>
          <w:b/>
          <w:bCs/>
          <w:szCs w:val="21"/>
        </w:rPr>
      </w:pP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drawing>
          <wp:anchor distT="0" distB="0" distL="114300" distR="114300" simplePos="0" relativeHeight="251652096" behindDoc="0" locked="0" layoutInCell="1" allowOverlap="1">
            <wp:simplePos x="0" y="0"/>
            <wp:positionH relativeFrom="margin">
              <wp:posOffset>7620</wp:posOffset>
            </wp:positionH>
            <wp:positionV relativeFrom="paragraph">
              <wp:posOffset>1423670</wp:posOffset>
            </wp:positionV>
            <wp:extent cx="831215" cy="1135380"/>
            <wp:effectExtent l="0" t="0" r="6985"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1215" cy="1135380"/>
                    </a:xfrm>
                    <a:prstGeom prst="rect">
                      <a:avLst/>
                    </a:prstGeom>
                  </pic:spPr>
                </pic:pic>
              </a:graphicData>
            </a:graphic>
          </wp:anchor>
        </w:drawing>
      </w:r>
      <w:r>
        <w:rPr>
          <w:rFonts w:hint="eastAsia" w:ascii="微软雅黑" w:hAnsi="微软雅黑" w:eastAsia="微软雅黑"/>
          <w:b/>
          <w:bCs/>
          <w:szCs w:val="21"/>
        </w:rPr>
        <w:drawing>
          <wp:anchor distT="0" distB="0" distL="114300" distR="114300" simplePos="0" relativeHeight="251656192" behindDoc="0" locked="0" layoutInCell="1" allowOverlap="1">
            <wp:simplePos x="0" y="0"/>
            <wp:positionH relativeFrom="margin">
              <wp:posOffset>21590</wp:posOffset>
            </wp:positionH>
            <wp:positionV relativeFrom="paragraph">
              <wp:posOffset>128270</wp:posOffset>
            </wp:positionV>
            <wp:extent cx="822325" cy="1215390"/>
            <wp:effectExtent l="0" t="0" r="635" b="381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2325" cy="1215390"/>
                    </a:xfrm>
                    <a:prstGeom prst="rect">
                      <a:avLst/>
                    </a:prstGeom>
                  </pic:spPr>
                </pic:pic>
              </a:graphicData>
            </a:graphic>
          </wp:anchor>
        </w:drawing>
      </w:r>
      <w:r>
        <w:rPr>
          <w:rFonts w:hint="eastAsia" w:ascii="微软雅黑" w:hAnsi="微软雅黑" w:eastAsia="微软雅黑"/>
          <w:b/>
          <w:bCs/>
          <w:szCs w:val="21"/>
        </w:rPr>
        <w:t xml:space="preserve">公孙炜  </w:t>
      </w:r>
      <w:r>
        <w:rPr>
          <w:rFonts w:hint="eastAsia" w:ascii="微软雅黑" w:hAnsi="微软雅黑" w:eastAsia="微软雅黑"/>
          <w:szCs w:val="21"/>
        </w:rPr>
        <w:t>大公东方投资管理公司董事长，中国经济体制改革研究会中国特色乡镇发展中心投资委主任，曾任世界银行IFC中国西部管理咨询联盟主席，西南联合产权交易所副总裁，英特投资公司首席代表。全程参与了世界银行集团IFC中国项目发展中心在我国西部的大型项目投资、并购和IPO。对于公司资本运营、政府和社会资本合作、投资项目筛选和融资有着丰富的实践经验和独到的理论建树。</w:t>
      </w: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t xml:space="preserve">杨小舟 </w:t>
      </w:r>
      <w:r>
        <w:rPr>
          <w:rFonts w:ascii="微软雅黑" w:hAnsi="微软雅黑" w:eastAsia="微软雅黑"/>
          <w:szCs w:val="21"/>
        </w:rPr>
        <w:t xml:space="preserve"> </w:t>
      </w:r>
      <w:r>
        <w:rPr>
          <w:rFonts w:hint="eastAsia" w:ascii="微软雅黑" w:hAnsi="微软雅黑" w:eastAsia="微软雅黑"/>
          <w:szCs w:val="21"/>
        </w:rPr>
        <w:t>中国财政科学研究院研究员、研究生部教授、博士生导师，兼任金融街、京北方等公司独立董事；曾兼任国泰基金独立董事，财政部内部控制咨询专家，中国会计学会企业内部控制专业委员会委员，中国注册会计师协会鉴定委员会委员等。</w:t>
      </w:r>
    </w:p>
    <w:p>
      <w:pPr>
        <w:spacing w:before="312" w:beforeLines="100" w:line="400" w:lineRule="exact"/>
        <w:rPr>
          <w:rFonts w:ascii="微软雅黑" w:hAnsi="微软雅黑" w:eastAsia="微软雅黑"/>
          <w:szCs w:val="21"/>
        </w:rPr>
      </w:pPr>
      <w:r>
        <w:rPr>
          <w:rFonts w:hint="eastAsia" w:ascii="微软雅黑" w:hAnsi="微软雅黑" w:eastAsia="微软雅黑"/>
          <w:b/>
          <w:bCs/>
          <w:szCs w:val="21"/>
        </w:rPr>
        <w:drawing>
          <wp:anchor distT="0" distB="0" distL="114300" distR="114300" simplePos="0" relativeHeight="251653120" behindDoc="0" locked="0" layoutInCell="1" allowOverlap="1">
            <wp:simplePos x="0" y="0"/>
            <wp:positionH relativeFrom="margin">
              <wp:posOffset>33655</wp:posOffset>
            </wp:positionH>
            <wp:positionV relativeFrom="paragraph">
              <wp:posOffset>189230</wp:posOffset>
            </wp:positionV>
            <wp:extent cx="788035" cy="1095375"/>
            <wp:effectExtent l="0" t="0" r="4445" b="190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8035" cy="1095375"/>
                    </a:xfrm>
                    <a:prstGeom prst="rect">
                      <a:avLst/>
                    </a:prstGeom>
                  </pic:spPr>
                </pic:pic>
              </a:graphicData>
            </a:graphic>
          </wp:anchor>
        </w:drawing>
      </w:r>
      <w:r>
        <w:rPr>
          <w:rFonts w:hint="eastAsia" w:ascii="微软雅黑" w:hAnsi="微软雅黑" w:eastAsia="微软雅黑"/>
          <w:b/>
          <w:bCs/>
          <w:szCs w:val="21"/>
        </w:rPr>
        <w:t>宋晓华</w:t>
      </w:r>
      <w:r>
        <w:rPr>
          <w:rFonts w:hint="eastAsia" w:ascii="微软雅黑" w:hAnsi="微软雅黑" w:eastAsia="微软雅黑" w:cs="仿宋"/>
          <w:szCs w:val="21"/>
        </w:rPr>
        <w:t xml:space="preserve"> </w:t>
      </w:r>
      <w:r>
        <w:rPr>
          <w:rFonts w:hint="eastAsia" w:ascii="微软雅黑" w:hAnsi="微软雅黑" w:eastAsia="微软雅黑"/>
          <w:szCs w:val="21"/>
        </w:rPr>
        <w:t>华北电力大学教授，管理学博士。中国会计学会高级会员，中国会计学会财务成本分会理事，清华大学、北京大学、中国人民大学等高校专题授课教师，中国上市公司市值管理研究中心高级研究员，多家银行、证券公司、上市公司等金融机构或企业的财务顾问。</w:t>
      </w:r>
    </w:p>
    <w:p>
      <w:pPr>
        <w:spacing w:before="312" w:beforeLines="100"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55168" behindDoc="1" locked="0" layoutInCell="1" allowOverlap="1">
            <wp:simplePos x="0" y="0"/>
            <wp:positionH relativeFrom="column">
              <wp:posOffset>-106680</wp:posOffset>
            </wp:positionH>
            <wp:positionV relativeFrom="paragraph">
              <wp:posOffset>80010</wp:posOffset>
            </wp:positionV>
            <wp:extent cx="864235" cy="1066800"/>
            <wp:effectExtent l="0" t="0" r="0" b="0"/>
            <wp:wrapTight wrapText="bothSides">
              <wp:wrapPolygon>
                <wp:start x="0" y="0"/>
                <wp:lineTo x="0" y="21291"/>
                <wp:lineTo x="21330" y="21291"/>
                <wp:lineTo x="21330"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64235" cy="1066800"/>
                    </a:xfrm>
                    <a:prstGeom prst="rect">
                      <a:avLst/>
                    </a:prstGeom>
                  </pic:spPr>
                </pic:pic>
              </a:graphicData>
            </a:graphic>
          </wp:anchor>
        </w:drawing>
      </w:r>
      <w:r>
        <w:rPr>
          <w:rFonts w:hint="eastAsia" w:ascii="微软雅黑" w:hAnsi="微软雅黑" w:eastAsia="微软雅黑"/>
          <w:b/>
          <w:bCs/>
          <w:szCs w:val="21"/>
        </w:rPr>
        <w:t xml:space="preserve">王 峰 </w:t>
      </w:r>
      <w:r>
        <w:rPr>
          <w:rFonts w:hint="eastAsia" w:ascii="微软雅黑" w:hAnsi="微软雅黑" w:eastAsia="微软雅黑"/>
          <w:szCs w:val="21"/>
        </w:rPr>
        <w:t>北京大成律师事务所合伙人、法学博士、博士后，现任最高人民检察院代理申诉及参与涉法涉诉信访律师、北京市高级人民法院代理申诉及参与涉法涉诉信访律师、北京市公安局案件评议第三方专家，担任多家大中型企业法律顾问、税务法律顾问。具有十多年执业律师的丰富工作经验。</w:t>
      </w:r>
    </w:p>
    <w:p>
      <w:pPr>
        <w:widowControl/>
        <w:spacing w:line="400" w:lineRule="exact"/>
        <w:jc w:val="left"/>
        <w:rPr>
          <w:rFonts w:ascii="微软雅黑" w:hAnsi="微软雅黑" w:eastAsia="微软雅黑"/>
          <w:b/>
          <w:bCs/>
          <w:szCs w:val="21"/>
        </w:rPr>
      </w:pPr>
      <w:r>
        <w:rPr>
          <w:rFonts w:ascii="微软雅黑" w:hAnsi="微软雅黑" w:eastAsia="微软雅黑"/>
          <w:b/>
          <w:bCs/>
          <w:szCs w:val="21"/>
        </w:rPr>
        <w:drawing>
          <wp:anchor distT="0" distB="0" distL="114300" distR="114300" simplePos="0" relativeHeight="251651072" behindDoc="1" locked="0" layoutInCell="1" allowOverlap="1">
            <wp:simplePos x="0" y="0"/>
            <wp:positionH relativeFrom="column">
              <wp:posOffset>-1027430</wp:posOffset>
            </wp:positionH>
            <wp:positionV relativeFrom="paragraph">
              <wp:posOffset>132080</wp:posOffset>
            </wp:positionV>
            <wp:extent cx="886460" cy="1192530"/>
            <wp:effectExtent l="0" t="0" r="0" b="0"/>
            <wp:wrapTight wrapText="bothSides">
              <wp:wrapPolygon>
                <wp:start x="0" y="0"/>
                <wp:lineTo x="0" y="21255"/>
                <wp:lineTo x="21167" y="21255"/>
                <wp:lineTo x="21167" y="0"/>
                <wp:lineTo x="0" y="0"/>
              </wp:wrapPolygon>
            </wp:wrapTight>
            <wp:docPr id="15" name="图片 15" descr="C:\Users\rbs\Desktop\崔云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rbs\Desktop\崔云刚.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86460" cy="1192530"/>
                    </a:xfrm>
                    <a:prstGeom prst="rect">
                      <a:avLst/>
                    </a:prstGeom>
                    <a:noFill/>
                    <a:ln>
                      <a:noFill/>
                    </a:ln>
                  </pic:spPr>
                </pic:pic>
              </a:graphicData>
            </a:graphic>
          </wp:anchor>
        </w:drawing>
      </w:r>
    </w:p>
    <w:p>
      <w:pPr>
        <w:spacing w:line="400" w:lineRule="exact"/>
        <w:rPr>
          <w:rFonts w:ascii="微软雅黑" w:hAnsi="微软雅黑" w:eastAsia="微软雅黑"/>
          <w:szCs w:val="21"/>
        </w:rPr>
      </w:pPr>
      <w:r>
        <w:rPr>
          <w:rFonts w:ascii="微软雅黑" w:hAnsi="微软雅黑" w:eastAsia="微软雅黑"/>
          <w:b/>
          <w:bCs/>
          <w:szCs w:val="21"/>
        </w:rPr>
        <w:drawing>
          <wp:anchor distT="0" distB="0" distL="114300" distR="114300" simplePos="0" relativeHeight="251659264" behindDoc="1" locked="0" layoutInCell="1" allowOverlap="1">
            <wp:simplePos x="0" y="0"/>
            <wp:positionH relativeFrom="margin">
              <wp:posOffset>-110490</wp:posOffset>
            </wp:positionH>
            <wp:positionV relativeFrom="paragraph">
              <wp:posOffset>1212850</wp:posOffset>
            </wp:positionV>
            <wp:extent cx="875030" cy="1163955"/>
            <wp:effectExtent l="0" t="0" r="0" b="0"/>
            <wp:wrapTight wrapText="bothSides">
              <wp:wrapPolygon>
                <wp:start x="0" y="0"/>
                <wp:lineTo x="0" y="21211"/>
                <wp:lineTo x="21067" y="21211"/>
                <wp:lineTo x="21067"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75030" cy="1163955"/>
                    </a:xfrm>
                    <a:prstGeom prst="rect">
                      <a:avLst/>
                    </a:prstGeom>
                    <a:noFill/>
                    <a:ln>
                      <a:noFill/>
                    </a:ln>
                  </pic:spPr>
                </pic:pic>
              </a:graphicData>
            </a:graphic>
          </wp:anchor>
        </w:drawing>
      </w:r>
      <w:r>
        <w:rPr>
          <w:rFonts w:hint="eastAsia" w:ascii="微软雅黑" w:hAnsi="微软雅黑" w:eastAsia="微软雅黑"/>
          <w:b/>
          <w:bCs/>
          <w:szCs w:val="21"/>
        </w:rPr>
        <w:t xml:space="preserve">崔云刚 </w:t>
      </w:r>
      <w:r>
        <w:rPr>
          <w:rFonts w:hint="eastAsia" w:ascii="微软雅黑" w:hAnsi="微软雅黑" w:eastAsia="微软雅黑"/>
          <w:szCs w:val="21"/>
        </w:rPr>
        <w:t>立信会计师事务所合伙人、经济学博士、博士后，曾在北京某科技有限公司担任副总裁兼财务总监，期间完成多家公司的股权收购工作。成功挂牌的公司有亚森实业、亿联科技、赛思信安、晶众股份、世纪盈联等多家公司。多次参加国资委的财务决算审核工作、参与过证监会、财政部、中注协组织的检查工作，熟悉公司上市流程及财务问题解决方案。</w:t>
      </w:r>
    </w:p>
    <w:p>
      <w:pPr>
        <w:spacing w:line="400" w:lineRule="exact"/>
        <w:rPr>
          <w:rFonts w:ascii="微软雅黑" w:hAnsi="微软雅黑" w:eastAsia="微软雅黑"/>
          <w:szCs w:val="21"/>
        </w:rPr>
      </w:pPr>
      <w:r>
        <w:rPr>
          <w:rFonts w:hint="eastAsia" w:ascii="微软雅黑" w:hAnsi="微软雅黑" w:eastAsia="微软雅黑"/>
          <w:b/>
          <w:bCs/>
          <w:szCs w:val="21"/>
        </w:rPr>
        <w:t xml:space="preserve">崔西福 </w:t>
      </w:r>
      <w:r>
        <w:rPr>
          <w:rFonts w:ascii="微软雅黑" w:hAnsi="微软雅黑" w:eastAsia="微软雅黑" w:cs="宋体"/>
          <w:b/>
          <w:szCs w:val="21"/>
        </w:rPr>
        <w:t xml:space="preserve"> </w:t>
      </w:r>
      <w:r>
        <w:rPr>
          <w:rFonts w:hint="eastAsia" w:ascii="微软雅黑" w:hAnsi="微软雅黑" w:eastAsia="微软雅黑"/>
          <w:szCs w:val="21"/>
        </w:rPr>
        <w:t>信永中和会计师事务所合伙人，中国注册会计师，财政部会计领军人才，拥有超过十五年的财务审计和资本市场服务经验；熟悉监管环境，执业过不同类型的资本市场项目，对资本市场有一定的认识和深刻的理解；服务客户涉及互联网公司、制造业、商贸流通、工程施工、地产及物业、金融、电力等。</w:t>
      </w:r>
    </w:p>
    <w:p>
      <w:pPr>
        <w:spacing w:before="312" w:beforeLines="100" w:line="400" w:lineRule="exact"/>
        <w:rPr>
          <w:rFonts w:ascii="微软雅黑" w:hAnsi="微软雅黑" w:eastAsia="微软雅黑"/>
          <w:szCs w:val="21"/>
        </w:rPr>
      </w:pPr>
      <w:r>
        <w:rPr>
          <w:rFonts w:hint="eastAsia" w:ascii="微软雅黑" w:hAnsi="微软雅黑" w:eastAsia="微软雅黑"/>
          <w:b/>
          <w:szCs w:val="21"/>
        </w:rPr>
        <w:drawing>
          <wp:anchor distT="0" distB="0" distL="114300" distR="114300" simplePos="0" relativeHeight="251657216" behindDoc="0" locked="0" layoutInCell="1" allowOverlap="1">
            <wp:simplePos x="0" y="0"/>
            <wp:positionH relativeFrom="margin">
              <wp:posOffset>-108585</wp:posOffset>
            </wp:positionH>
            <wp:positionV relativeFrom="margin">
              <wp:posOffset>4354830</wp:posOffset>
            </wp:positionV>
            <wp:extent cx="836930" cy="1186815"/>
            <wp:effectExtent l="0" t="0" r="1270" b="1905"/>
            <wp:wrapSquare wrapText="bothSides"/>
            <wp:docPr id="8" name="图片 8" descr="QQ截图20170515104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705151043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36930" cy="1186815"/>
                    </a:xfrm>
                    <a:prstGeom prst="rect">
                      <a:avLst/>
                    </a:prstGeom>
                    <a:noFill/>
                    <a:ln>
                      <a:noFill/>
                    </a:ln>
                  </pic:spPr>
                </pic:pic>
              </a:graphicData>
            </a:graphic>
          </wp:anchor>
        </w:drawing>
      </w:r>
      <w:r>
        <w:rPr>
          <w:rFonts w:hint="eastAsia" w:ascii="微软雅黑" w:hAnsi="微软雅黑" w:eastAsia="微软雅黑"/>
          <w:b/>
          <w:szCs w:val="21"/>
        </w:rPr>
        <w:t xml:space="preserve">徐 京 </w:t>
      </w:r>
      <w:r>
        <w:rPr>
          <w:rFonts w:ascii="微软雅黑" w:hAnsi="微软雅黑" w:eastAsia="微软雅黑"/>
          <w:b/>
          <w:szCs w:val="21"/>
        </w:rPr>
        <w:t xml:space="preserve"> </w:t>
      </w:r>
      <w:r>
        <w:rPr>
          <w:rFonts w:hint="eastAsia" w:ascii="微软雅黑" w:hAnsi="微软雅黑" w:eastAsia="微软雅黑"/>
          <w:szCs w:val="21"/>
        </w:rPr>
        <w:t>企业股权与投融资实战专家、独立财务顾问，北京惠信财税与股权法制融合研究院执行院长，服务于中石油、葛洲坝集团、中电投、招商银行、新华都等多家大中型企业。具有丰富的融资、架构重组等实战经验。</w:t>
      </w:r>
    </w:p>
    <w:p>
      <w:pPr>
        <w:spacing w:line="400" w:lineRule="exact"/>
        <w:rPr>
          <w:rFonts w:ascii="微软雅黑" w:hAnsi="微软雅黑" w:eastAsia="微软雅黑" w:cs="Times New Roman"/>
          <w:b/>
          <w:color w:val="C00000"/>
          <w:szCs w:val="21"/>
        </w:rPr>
      </w:pPr>
    </w:p>
    <w:p>
      <w:pPr>
        <w:spacing w:line="480" w:lineRule="exact"/>
        <w:rPr>
          <w:rFonts w:ascii="微软雅黑" w:hAnsi="微软雅黑" w:eastAsia="微软雅黑"/>
          <w:szCs w:val="21"/>
        </w:rPr>
      </w:pPr>
      <w:r>
        <w:rPr>
          <w:rFonts w:ascii="微软雅黑" w:hAnsi="微软雅黑" w:eastAsia="微软雅黑" w:cs="Times New Roman"/>
          <w:b/>
          <w:color w:val="C00000"/>
          <w:sz w:val="28"/>
          <w:szCs w:val="28"/>
        </w:rPr>
        <w:t>证书授予</w:t>
      </w:r>
      <w:r>
        <w:rPr>
          <w:rFonts w:ascii="微软雅黑" w:hAnsi="微软雅黑" w:eastAsia="微软雅黑"/>
          <w:b/>
          <w:bCs/>
          <w:color w:val="800000"/>
          <w:sz w:val="24"/>
        </w:rPr>
        <w:br w:type="textWrapping"/>
      </w:r>
      <w:r>
        <w:rPr>
          <w:rFonts w:hint="eastAsia" w:ascii="微软雅黑" w:hAnsi="微软雅黑" w:eastAsia="微软雅黑" w:cs="Arial"/>
          <w:color w:val="000000"/>
          <w:spacing w:val="-4"/>
          <w:kern w:val="0"/>
          <w:sz w:val="20"/>
          <w:szCs w:val="20"/>
        </w:rPr>
        <w:t xml:space="preserve">    </w:t>
      </w:r>
      <w:r>
        <w:rPr>
          <w:rFonts w:ascii="微软雅黑" w:hAnsi="微软雅黑" w:eastAsia="微软雅黑"/>
          <w:spacing w:val="-4"/>
          <w:szCs w:val="21"/>
        </w:rPr>
        <w:t>完成规定课程的学习，经考核合格者，</w:t>
      </w:r>
      <w:r>
        <w:rPr>
          <w:rFonts w:hint="eastAsia" w:ascii="微软雅黑" w:hAnsi="微软雅黑" w:eastAsia="微软雅黑"/>
          <w:spacing w:val="-4"/>
          <w:szCs w:val="21"/>
        </w:rPr>
        <w:t>颁发中国人民大学上市公司董秘高级管理</w:t>
      </w:r>
      <w:r>
        <w:rPr>
          <w:rFonts w:ascii="微软雅黑" w:hAnsi="微软雅黑" w:eastAsia="微软雅黑"/>
          <w:spacing w:val="-4"/>
          <w:szCs w:val="21"/>
        </w:rPr>
        <w:t>课程班结业证书。</w:t>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授课时间</w:t>
      </w:r>
    </w:p>
    <w:p>
      <w:pPr>
        <w:spacing w:line="480" w:lineRule="exact"/>
        <w:ind w:left="409" w:leftChars="195"/>
        <w:rPr>
          <w:rFonts w:ascii="微软雅黑" w:hAnsi="微软雅黑" w:eastAsia="微软雅黑"/>
          <w:szCs w:val="21"/>
        </w:rPr>
      </w:pPr>
      <w:r>
        <w:rPr>
          <w:rFonts w:ascii="微软雅黑" w:hAnsi="微软雅黑" w:eastAsia="微软雅黑"/>
          <w:szCs w:val="21"/>
        </w:rPr>
        <w:t>2020</w:t>
      </w:r>
      <w:r>
        <w:rPr>
          <w:rFonts w:hint="eastAsia" w:ascii="微软雅黑" w:hAnsi="微软雅黑" w:eastAsia="微软雅黑"/>
          <w:szCs w:val="21"/>
        </w:rPr>
        <w:t>年董秘（第七</w:t>
      </w:r>
      <w:r>
        <w:rPr>
          <w:rFonts w:ascii="微软雅黑" w:hAnsi="微软雅黑" w:eastAsia="微软雅黑"/>
          <w:szCs w:val="21"/>
        </w:rPr>
        <w:t>期</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20</w:t>
      </w:r>
      <w:r>
        <w:rPr>
          <w:rFonts w:ascii="微软雅黑" w:hAnsi="微软雅黑" w:eastAsia="微软雅黑"/>
          <w:szCs w:val="21"/>
        </w:rPr>
        <w:t>20</w:t>
      </w:r>
      <w:r>
        <w:rPr>
          <w:rFonts w:hint="eastAsia" w:ascii="微软雅黑" w:hAnsi="微软雅黑" w:eastAsia="微软雅黑"/>
          <w:szCs w:val="21"/>
        </w:rPr>
        <w:t>年10月</w:t>
      </w:r>
      <w:r>
        <w:rPr>
          <w:rFonts w:ascii="微软雅黑" w:hAnsi="微软雅黑" w:eastAsia="微软雅黑"/>
          <w:szCs w:val="21"/>
        </w:rPr>
        <w:t>北京开课。</w:t>
      </w:r>
    </w:p>
    <w:p>
      <w:pPr>
        <w:spacing w:line="480" w:lineRule="exact"/>
        <w:ind w:left="409" w:leftChars="195"/>
        <w:rPr>
          <w:rFonts w:ascii="微软雅黑" w:hAnsi="微软雅黑" w:eastAsia="微软雅黑"/>
          <w:szCs w:val="21"/>
        </w:rPr>
      </w:pPr>
      <w:r>
        <w:rPr>
          <w:rFonts w:hint="eastAsia" w:ascii="微软雅黑" w:hAnsi="微软雅黑" w:eastAsia="微软雅黑"/>
          <w:szCs w:val="21"/>
        </w:rPr>
        <w:t>学制</w:t>
      </w:r>
      <w:r>
        <w:rPr>
          <w:rFonts w:ascii="微软雅黑" w:hAnsi="微软雅黑" w:eastAsia="微软雅黑"/>
          <w:szCs w:val="21"/>
        </w:rPr>
        <w:t>一年，</w:t>
      </w:r>
      <w:r>
        <w:rPr>
          <w:rFonts w:hint="eastAsia" w:ascii="微软雅黑" w:hAnsi="微软雅黑" w:eastAsia="微软雅黑"/>
          <w:szCs w:val="21"/>
        </w:rPr>
        <w:t>每月集中授课一次，一次2天（周六、周日），共九次，</w:t>
      </w:r>
      <w:r>
        <w:rPr>
          <w:rFonts w:ascii="微软雅黑" w:hAnsi="微软雅黑" w:eastAsia="微软雅黑"/>
          <w:szCs w:val="21"/>
        </w:rPr>
        <w:t>18</w:t>
      </w:r>
      <w:r>
        <w:rPr>
          <w:rFonts w:hint="eastAsia" w:ascii="微软雅黑" w:hAnsi="微软雅黑" w:eastAsia="微软雅黑"/>
          <w:szCs w:val="21"/>
        </w:rPr>
        <w:t>天课程。</w:t>
      </w:r>
    </w:p>
    <w:p>
      <w:pPr>
        <w:rPr>
          <w:rFonts w:ascii="微软雅黑" w:hAnsi="微软雅黑" w:eastAsia="微软雅黑" w:cs="Arial"/>
          <w:b/>
          <w:bCs/>
          <w:color w:val="000000"/>
          <w:kern w:val="0"/>
          <w:szCs w:val="21"/>
        </w:rPr>
      </w:pPr>
      <w:r>
        <w:rPr>
          <w:rFonts w:ascii="微软雅黑" w:hAnsi="微软雅黑" w:eastAsia="微软雅黑"/>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89535</wp:posOffset>
                </wp:positionV>
                <wp:extent cx="3384550" cy="789305"/>
                <wp:effectExtent l="10795" t="10795" r="18415" b="22860"/>
                <wp:wrapNone/>
                <wp:docPr id="19" name="AutoShape 3"/>
                <wp:cNvGraphicFramePr/>
                <a:graphic xmlns:a="http://schemas.openxmlformats.org/drawingml/2006/main">
                  <a:graphicData uri="http://schemas.microsoft.com/office/word/2010/wordprocessingShape">
                    <wps:wsp>
                      <wps:cNvSpPr>
                        <a:spLocks noChangeArrowheads="1"/>
                      </wps:cNvSpPr>
                      <wps:spPr bwMode="auto">
                        <a:xfrm>
                          <a:off x="0" y="0"/>
                          <a:ext cx="6096000" cy="1005840"/>
                        </a:xfrm>
                        <a:prstGeom prst="roundRect">
                          <a:avLst>
                            <a:gd name="adj" fmla="val 16667"/>
                          </a:avLst>
                        </a:prstGeom>
                        <a:noFill/>
                        <a:ln w="22225" cap="rnd">
                          <a:solidFill>
                            <a:srgbClr val="C0504D"/>
                          </a:solidFill>
                          <a:prstDash val="sysDot"/>
                          <a:round/>
                        </a:ln>
                        <a:effectLst/>
                      </wps:spPr>
                      <wps:txbx>
                        <w:txbxContent>
                          <w:p>
                            <w:pPr>
                              <w:spacing w:line="300" w:lineRule="exact"/>
                              <w:rPr>
                                <w:rFonts w:ascii="微软雅黑" w:hAnsi="微软雅黑" w:eastAsia="微软雅黑"/>
                                <w:sz w:val="18"/>
                                <w:szCs w:val="18"/>
                              </w:rPr>
                            </w:pPr>
                            <w:r>
                              <w:rPr>
                                <w:rFonts w:ascii="微软雅黑" w:hAnsi="微软雅黑" w:eastAsia="微软雅黑"/>
                                <w:sz w:val="18"/>
                                <w:szCs w:val="18"/>
                              </w:rPr>
                              <w:t>办理入学手续，携带以下资料：</w:t>
                            </w:r>
                            <w:r>
                              <w:rPr>
                                <w:rFonts w:ascii="微软雅黑" w:hAnsi="微软雅黑" w:eastAsia="微软雅黑"/>
                                <w:sz w:val="18"/>
                                <w:szCs w:val="18"/>
                              </w:rPr>
                              <w:br w:type="textWrapping"/>
                            </w:r>
                            <w:r>
                              <w:rPr>
                                <w:rFonts w:hint="eastAsia" w:ascii="微软雅黑" w:hAnsi="微软雅黑" w:eastAsia="微软雅黑"/>
                                <w:sz w:val="18"/>
                                <w:szCs w:val="18"/>
                              </w:rPr>
                              <w:t xml:space="preserve"> 1.</w:t>
                            </w:r>
                            <w:r>
                              <w:rPr>
                                <w:rFonts w:ascii="微软雅黑" w:hAnsi="微软雅黑" w:eastAsia="微软雅黑"/>
                                <w:sz w:val="18"/>
                                <w:szCs w:val="18"/>
                              </w:rPr>
                              <w:t xml:space="preserve"> 1寸和2寸彩色照片各两张（照片背后请注明姓名）；</w:t>
                            </w:r>
                          </w:p>
                          <w:p>
                            <w:pPr>
                              <w:spacing w:line="300" w:lineRule="exact"/>
                              <w:rPr>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2.</w:t>
                            </w:r>
                            <w:r>
                              <w:rPr>
                                <w:rFonts w:ascii="微软雅黑" w:hAnsi="微软雅黑" w:eastAsia="微软雅黑"/>
                                <w:sz w:val="18"/>
                                <w:szCs w:val="18"/>
                              </w:rPr>
                              <w:t>身份证、学历证</w:t>
                            </w:r>
                            <w:r>
                              <w:rPr>
                                <w:rFonts w:hint="eastAsia" w:ascii="微软雅黑" w:hAnsi="微软雅黑" w:eastAsia="微软雅黑"/>
                                <w:sz w:val="18"/>
                                <w:szCs w:val="18"/>
                              </w:rPr>
                              <w:t>（或</w:t>
                            </w:r>
                            <w:r>
                              <w:rPr>
                                <w:rFonts w:ascii="微软雅黑" w:hAnsi="微软雅黑" w:eastAsia="微软雅黑"/>
                                <w:sz w:val="18"/>
                                <w:szCs w:val="18"/>
                              </w:rPr>
                              <w:t>同等学历证明</w:t>
                            </w:r>
                            <w:r>
                              <w:rPr>
                                <w:rFonts w:hint="eastAsia" w:ascii="微软雅黑" w:hAnsi="微软雅黑" w:eastAsia="微软雅黑"/>
                                <w:sz w:val="18"/>
                                <w:szCs w:val="18"/>
                              </w:rPr>
                              <w:t>）的</w:t>
                            </w:r>
                            <w:r>
                              <w:rPr>
                                <w:rFonts w:ascii="微软雅黑" w:hAnsi="微软雅黑" w:eastAsia="微软雅黑"/>
                                <w:sz w:val="18"/>
                                <w:szCs w:val="18"/>
                              </w:rPr>
                              <w:t>复印件各一份。</w:t>
                            </w:r>
                          </w:p>
                        </w:txbxContent>
                      </wps:txbx>
                      <wps:bodyPr rot="0" vert="horz" wrap="square" lIns="91440" tIns="45720" rIns="91440" bIns="45720" anchor="t" anchorCtr="0" upright="1">
                        <a:noAutofit/>
                      </wps:bodyPr>
                    </wps:wsp>
                  </a:graphicData>
                </a:graphic>
              </wp:anchor>
            </w:drawing>
          </mc:Choice>
          <mc:Fallback>
            <w:pict>
              <v:roundrect id="AutoShape 3" o:spid="_x0000_s1026" o:spt="2" style="position:absolute;left:0pt;margin-left:32.7pt;margin-top:7.05pt;height:62.15pt;width:266.5pt;z-index:251660288;mso-width-relative:page;mso-height-relative:page;" filled="f" stroked="t" coordsize="21600,21600" arcsize="0.166666666666667" o:gfxdata="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N/Boa1QAAAAkBAAAPAAAAAAAAAAEAIAAAACIAAABkcnMv&#10;ZG93bnJldi54bWxQSwECFAAUAAAACACHTuJAMn9OjD8CAABfBAAADgAAAAAAAAABACAAAAAkAQAA&#10;ZHJzL2Uyb0RvYy54bWxQSwUGAAAAAAYABgBZAQAA1QUAAAAA&#10;">
                <v:fill on="f" focussize="0,0"/>
                <v:stroke weight="1.75pt" color="#C0504D" joinstyle="round" dashstyle="1 1" endcap="round"/>
                <v:imagedata o:title=""/>
                <o:lock v:ext="edit" aspectratio="f"/>
                <v:textbox>
                  <w:txbxContent>
                    <w:p>
                      <w:pPr>
                        <w:spacing w:line="300" w:lineRule="exact"/>
                        <w:rPr>
                          <w:rFonts w:ascii="微软雅黑" w:hAnsi="微软雅黑" w:eastAsia="微软雅黑"/>
                          <w:sz w:val="18"/>
                          <w:szCs w:val="18"/>
                        </w:rPr>
                      </w:pPr>
                      <w:r>
                        <w:rPr>
                          <w:rFonts w:ascii="微软雅黑" w:hAnsi="微软雅黑" w:eastAsia="微软雅黑"/>
                          <w:sz w:val="18"/>
                          <w:szCs w:val="18"/>
                        </w:rPr>
                        <w:t>办理入学手续，携带以下资料：</w:t>
                      </w:r>
                      <w:r>
                        <w:rPr>
                          <w:rFonts w:ascii="微软雅黑" w:hAnsi="微软雅黑" w:eastAsia="微软雅黑"/>
                          <w:sz w:val="18"/>
                          <w:szCs w:val="18"/>
                        </w:rPr>
                        <w:br w:type="textWrapping"/>
                      </w:r>
                      <w:r>
                        <w:rPr>
                          <w:rFonts w:hint="eastAsia" w:ascii="微软雅黑" w:hAnsi="微软雅黑" w:eastAsia="微软雅黑"/>
                          <w:sz w:val="18"/>
                          <w:szCs w:val="18"/>
                        </w:rPr>
                        <w:t xml:space="preserve"> 1.</w:t>
                      </w:r>
                      <w:r>
                        <w:rPr>
                          <w:rFonts w:ascii="微软雅黑" w:hAnsi="微软雅黑" w:eastAsia="微软雅黑"/>
                          <w:sz w:val="18"/>
                          <w:szCs w:val="18"/>
                        </w:rPr>
                        <w:t xml:space="preserve"> 1寸和2寸彩色照片各两张（照片背后请注明姓名）；</w:t>
                      </w:r>
                    </w:p>
                    <w:p>
                      <w:pPr>
                        <w:spacing w:line="300" w:lineRule="exact"/>
                        <w:rPr>
                          <w:sz w:val="18"/>
                          <w:szCs w:val="18"/>
                        </w:rPr>
                      </w:pPr>
                      <w:r>
                        <w:rPr>
                          <w:rFonts w:ascii="微软雅黑" w:hAnsi="微软雅黑" w:eastAsia="微软雅黑"/>
                          <w:sz w:val="18"/>
                          <w:szCs w:val="18"/>
                        </w:rPr>
                        <w:t xml:space="preserve"> </w:t>
                      </w:r>
                      <w:r>
                        <w:rPr>
                          <w:rFonts w:hint="eastAsia" w:ascii="微软雅黑" w:hAnsi="微软雅黑" w:eastAsia="微软雅黑"/>
                          <w:sz w:val="18"/>
                          <w:szCs w:val="18"/>
                        </w:rPr>
                        <w:t>2.</w:t>
                      </w:r>
                      <w:r>
                        <w:rPr>
                          <w:rFonts w:ascii="微软雅黑" w:hAnsi="微软雅黑" w:eastAsia="微软雅黑"/>
                          <w:sz w:val="18"/>
                          <w:szCs w:val="18"/>
                        </w:rPr>
                        <w:t>身份证、学历证</w:t>
                      </w:r>
                      <w:r>
                        <w:rPr>
                          <w:rFonts w:hint="eastAsia" w:ascii="微软雅黑" w:hAnsi="微软雅黑" w:eastAsia="微软雅黑"/>
                          <w:sz w:val="18"/>
                          <w:szCs w:val="18"/>
                        </w:rPr>
                        <w:t>（或</w:t>
                      </w:r>
                      <w:r>
                        <w:rPr>
                          <w:rFonts w:ascii="微软雅黑" w:hAnsi="微软雅黑" w:eastAsia="微软雅黑"/>
                          <w:sz w:val="18"/>
                          <w:szCs w:val="18"/>
                        </w:rPr>
                        <w:t>同等学历证明</w:t>
                      </w:r>
                      <w:r>
                        <w:rPr>
                          <w:rFonts w:hint="eastAsia" w:ascii="微软雅黑" w:hAnsi="微软雅黑" w:eastAsia="微软雅黑"/>
                          <w:sz w:val="18"/>
                          <w:szCs w:val="18"/>
                        </w:rPr>
                        <w:t>）的</w:t>
                      </w:r>
                      <w:r>
                        <w:rPr>
                          <w:rFonts w:ascii="微软雅黑" w:hAnsi="微软雅黑" w:eastAsia="微软雅黑"/>
                          <w:sz w:val="18"/>
                          <w:szCs w:val="18"/>
                        </w:rPr>
                        <w:t>复印件各一份。</w:t>
                      </w:r>
                    </w:p>
                  </w:txbxContent>
                </v:textbox>
              </v:roundrect>
            </w:pict>
          </mc:Fallback>
        </mc:AlternateContent>
      </w:r>
    </w:p>
    <w:p>
      <w:pPr>
        <w:rPr>
          <w:rFonts w:ascii="微软雅黑" w:hAnsi="微软雅黑" w:eastAsia="微软雅黑" w:cs="Arial"/>
          <w:b/>
          <w:bCs/>
          <w:color w:val="000000"/>
          <w:kern w:val="0"/>
          <w:szCs w:val="21"/>
        </w:rPr>
      </w:pPr>
    </w:p>
    <w:p>
      <w:pPr>
        <w:spacing w:before="156" w:beforeLines="50" w:after="156" w:afterLines="50" w:line="600" w:lineRule="exact"/>
        <w:jc w:val="left"/>
        <w:rPr>
          <w:rFonts w:hint="default" w:ascii="微软雅黑" w:hAnsi="微软雅黑" w:eastAsia="微软雅黑" w:cs="Times New Roman"/>
          <w:b/>
          <w:color w:val="C00000"/>
          <w:sz w:val="28"/>
          <w:szCs w:val="28"/>
          <w:lang w:val="en-US" w:eastAsia="zh-CN"/>
        </w:rPr>
      </w:pPr>
      <w:r>
        <w:rPr>
          <w:rFonts w:ascii="微软雅黑" w:hAnsi="微软雅黑" w:eastAsia="微软雅黑" w:cs="Times New Roman"/>
          <w:b/>
          <w:color w:val="C00000"/>
          <w:sz w:val="28"/>
          <w:szCs w:val="28"/>
        </w:rPr>
        <w:t>报名咨询</w:t>
      </w:r>
      <w:r>
        <w:rPr>
          <w:rFonts w:hint="eastAsia" w:ascii="微软雅黑" w:hAnsi="微软雅黑" w:eastAsia="微软雅黑" w:cs="Times New Roman"/>
          <w:b/>
          <w:color w:val="C00000"/>
          <w:sz w:val="28"/>
          <w:szCs w:val="28"/>
        </w:rPr>
        <w:t xml:space="preserve">  </w:t>
      </w:r>
      <w:r>
        <w:rPr>
          <w:rFonts w:hint="eastAsia" w:ascii="微软雅黑" w:hAnsi="微软雅黑" w:eastAsia="微软雅黑"/>
          <w:szCs w:val="21"/>
          <w:lang w:val="en-US" w:eastAsia="zh-CN"/>
        </w:rPr>
        <w:t>陈</w:t>
      </w:r>
      <w:r>
        <w:rPr>
          <w:rFonts w:hint="eastAsia" w:ascii="微软雅黑" w:hAnsi="微软雅黑" w:eastAsia="微软雅黑"/>
          <w:szCs w:val="21"/>
        </w:rPr>
        <w:t>老师 1</w:t>
      </w:r>
      <w:r>
        <w:rPr>
          <w:rFonts w:hint="eastAsia" w:ascii="微软雅黑" w:hAnsi="微软雅黑" w:eastAsia="微软雅黑"/>
          <w:szCs w:val="21"/>
          <w:lang w:val="en-US" w:eastAsia="zh-CN"/>
        </w:rPr>
        <w:t>3439064501 （同微信）</w:t>
      </w: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课程</w:t>
      </w:r>
      <w:r>
        <w:rPr>
          <w:rFonts w:hint="eastAsia" w:ascii="微软雅黑" w:hAnsi="微软雅黑" w:eastAsia="微软雅黑" w:cs="Times New Roman"/>
          <w:b/>
          <w:color w:val="C00000"/>
          <w:sz w:val="28"/>
          <w:szCs w:val="28"/>
        </w:rPr>
        <w:t>费用</w:t>
      </w:r>
    </w:p>
    <w:p>
      <w:pPr>
        <w:spacing w:line="400" w:lineRule="exact"/>
        <w:ind w:firstLine="420" w:firstLineChars="200"/>
        <w:rPr>
          <w:rFonts w:ascii="微软雅黑" w:hAnsi="微软雅黑" w:eastAsia="微软雅黑"/>
          <w:szCs w:val="21"/>
        </w:rPr>
      </w:pPr>
      <w:r>
        <w:rPr>
          <w:rFonts w:hint="eastAsia" w:ascii="微软雅黑" w:hAnsi="微软雅黑" w:eastAsia="微软雅黑"/>
          <w:szCs w:val="21"/>
        </w:rPr>
        <w:t>人民币4</w:t>
      </w:r>
      <w:r>
        <w:rPr>
          <w:rFonts w:ascii="微软雅黑" w:hAnsi="微软雅黑" w:eastAsia="微软雅黑"/>
          <w:szCs w:val="21"/>
        </w:rPr>
        <w:t>9</w:t>
      </w:r>
      <w:r>
        <w:rPr>
          <w:rFonts w:hint="eastAsia" w:ascii="微软雅黑" w:hAnsi="微软雅黑" w:eastAsia="微软雅黑"/>
          <w:szCs w:val="21"/>
        </w:rPr>
        <w:t>,8</w:t>
      </w:r>
      <w:r>
        <w:rPr>
          <w:rFonts w:ascii="微软雅黑" w:hAnsi="微软雅黑" w:eastAsia="微软雅黑"/>
          <w:szCs w:val="21"/>
        </w:rPr>
        <w:t>00元/人（含</w:t>
      </w:r>
      <w:r>
        <w:rPr>
          <w:rFonts w:hint="eastAsia" w:ascii="微软雅黑" w:hAnsi="微软雅黑" w:eastAsia="微软雅黑"/>
          <w:szCs w:val="21"/>
        </w:rPr>
        <w:t>培训</w:t>
      </w:r>
      <w:r>
        <w:rPr>
          <w:rFonts w:ascii="微软雅黑" w:hAnsi="微软雅黑" w:eastAsia="微软雅黑"/>
          <w:szCs w:val="21"/>
        </w:rPr>
        <w:t>、资料</w:t>
      </w:r>
      <w:r>
        <w:rPr>
          <w:rFonts w:hint="eastAsia" w:ascii="微软雅黑" w:hAnsi="微软雅黑" w:eastAsia="微软雅黑"/>
          <w:szCs w:val="21"/>
        </w:rPr>
        <w:t>等费）</w:t>
      </w:r>
      <w:r>
        <w:rPr>
          <w:rFonts w:ascii="微软雅黑" w:hAnsi="微软雅黑" w:eastAsia="微软雅黑"/>
          <w:szCs w:val="21"/>
        </w:rPr>
        <w:t>，可</w:t>
      </w:r>
      <w:r>
        <w:rPr>
          <w:rFonts w:hint="eastAsia" w:ascii="微软雅黑" w:hAnsi="微软雅黑" w:eastAsia="微软雅黑"/>
          <w:szCs w:val="21"/>
        </w:rPr>
        <w:t>汇款或刷卡</w:t>
      </w:r>
      <w:r>
        <w:rPr>
          <w:rFonts w:ascii="微软雅黑" w:hAnsi="微软雅黑" w:eastAsia="微软雅黑"/>
          <w:szCs w:val="21"/>
        </w:rPr>
        <w:t>。</w:t>
      </w:r>
    </w:p>
    <w:p>
      <w:pPr>
        <w:spacing w:line="360" w:lineRule="auto"/>
        <w:ind w:firstLine="420" w:firstLineChars="200"/>
        <w:rPr>
          <w:rFonts w:ascii="微软雅黑" w:hAnsi="微软雅黑" w:eastAsia="微软雅黑"/>
          <w:szCs w:val="21"/>
        </w:rPr>
      </w:pPr>
      <w:r>
        <w:rPr>
          <w:rFonts w:ascii="微软雅黑" w:hAnsi="微软雅黑" w:eastAsia="微软雅黑"/>
          <w:b/>
          <w:bCs/>
          <w:szCs w:val="21"/>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95250</wp:posOffset>
                </wp:positionV>
                <wp:extent cx="5844540" cy="1706245"/>
                <wp:effectExtent l="15875" t="15875" r="22225" b="30480"/>
                <wp:wrapNone/>
                <wp:docPr id="1" name="AutoShape 2"/>
                <wp:cNvGraphicFramePr/>
                <a:graphic xmlns:a="http://schemas.openxmlformats.org/drawingml/2006/main">
                  <a:graphicData uri="http://schemas.microsoft.com/office/word/2010/wordprocessingShape">
                    <wps:wsp>
                      <wps:cNvSpPr>
                        <a:spLocks noChangeArrowheads="1"/>
                      </wps:cNvSpPr>
                      <wps:spPr bwMode="auto">
                        <a:xfrm>
                          <a:off x="0" y="0"/>
                          <a:ext cx="6269355" cy="1946910"/>
                        </a:xfrm>
                        <a:prstGeom prst="roundRect">
                          <a:avLst>
                            <a:gd name="adj" fmla="val 16667"/>
                          </a:avLst>
                        </a:prstGeom>
                        <a:noFill/>
                        <a:ln w="31750" cap="rnd">
                          <a:solidFill>
                            <a:srgbClr val="C0504D"/>
                          </a:solidFill>
                          <a:prstDash val="sysDot"/>
                          <a:round/>
                        </a:ln>
                        <a:effectLst/>
                      </wps:spPr>
                      <wps:txbx>
                        <w:txbxContent>
                          <w:p>
                            <w:pPr>
                              <w:spacing w:line="300" w:lineRule="exact"/>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交费须知：</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1、个人账户缴费： 请通过人大培训网发布的培训项目缴费链接（中国人民大学校园统一支付平台）进行缴费。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2、单位账户缴费：通过银行汇款缴费。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收款单位：中国人民大学</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收款帐号：0200 0076 0902 6400 244  </w:t>
                            </w:r>
                          </w:p>
                          <w:p>
                            <w:pPr>
                              <w:spacing w:line="300" w:lineRule="exact"/>
                              <w:rPr>
                                <w:sz w:val="18"/>
                                <w:szCs w:val="18"/>
                              </w:rPr>
                            </w:pPr>
                            <w:r>
                              <w:rPr>
                                <w:rFonts w:hint="eastAsia" w:ascii="微软雅黑" w:hAnsi="微软雅黑" w:eastAsia="微软雅黑" w:cs="等线"/>
                                <w:sz w:val="18"/>
                                <w:szCs w:val="18"/>
                                <w:lang w:val="zh-CN"/>
                              </w:rPr>
                              <w:t>特别说明：汇款时</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收款人（单位）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一栏均只填</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中国人民大学</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六字，在</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用途</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摘要</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栏里填上</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商学院董秘课程</w:t>
                            </w:r>
                            <w:r>
                              <w:rPr>
                                <w:rFonts w:hint="eastAsia" w:ascii="微软雅黑" w:hAnsi="微软雅黑" w:eastAsia="微软雅黑" w:cs="等线"/>
                                <w:sz w:val="18"/>
                                <w:szCs w:val="18"/>
                              </w:rPr>
                              <w:t>xxx</w:t>
                            </w:r>
                            <w:r>
                              <w:rPr>
                                <w:rFonts w:hint="eastAsia" w:ascii="微软雅黑" w:hAnsi="微软雅黑" w:eastAsia="微软雅黑" w:cs="等线"/>
                                <w:sz w:val="18"/>
                                <w:szCs w:val="18"/>
                                <w:lang w:val="zh-CN"/>
                              </w:rPr>
                              <w:t>（学员姓名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培训费</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w:t>
                            </w:r>
                            <w:r>
                              <w:rPr>
                                <w:rFonts w:ascii="微软雅黑" w:hAnsi="微软雅黑" w:eastAsia="微软雅黑" w:cs="等线"/>
                                <w:sz w:val="18"/>
                                <w:szCs w:val="18"/>
                                <w:lang w:val="zh-CN"/>
                              </w:rPr>
                              <w:t xml:space="preserve"> 汇款后请将银行汇款回单</w:t>
                            </w:r>
                            <w:r>
                              <w:rPr>
                                <w:rFonts w:hint="eastAsia" w:ascii="微软雅黑" w:hAnsi="微软雅黑" w:eastAsia="微软雅黑" w:cs="等线"/>
                                <w:sz w:val="18"/>
                                <w:szCs w:val="18"/>
                                <w:lang w:val="zh-CN"/>
                              </w:rPr>
                              <w:t>回复至人大</w:t>
                            </w:r>
                            <w:r>
                              <w:rPr>
                                <w:rFonts w:ascii="微软雅黑" w:hAnsi="微软雅黑" w:eastAsia="微软雅黑" w:cs="等线"/>
                                <w:sz w:val="18"/>
                                <w:szCs w:val="18"/>
                                <w:lang w:val="zh-CN"/>
                              </w:rPr>
                              <w:t>商学院高层管理教育项目中心。</w:t>
                            </w:r>
                          </w:p>
                        </w:txbxContent>
                      </wps:txbx>
                      <wps:bodyPr rot="0" vert="horz" wrap="square" lIns="91440" tIns="45720" rIns="91440" bIns="45720" anchor="t" anchorCtr="0" upright="1">
                        <a:noAutofit/>
                      </wps:bodyPr>
                    </wps:wsp>
                  </a:graphicData>
                </a:graphic>
              </wp:anchor>
            </w:drawing>
          </mc:Choice>
          <mc:Fallback>
            <w:pict>
              <v:roundrect id="AutoShape 2" o:spid="_x0000_s1026" o:spt="2" style="position:absolute;left:0pt;margin-left:0.8pt;margin-top:7.5pt;height:134.35pt;width:460.2pt;z-index:251658240;mso-width-relative:page;mso-height-relative:page;" filled="f" stroked="t" coordsize="21600,21600" arcsize="0.166666666666667" o:gfxdata="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j2wZO1wAAAAgBAAAPAAAAAAAAAAEAIAAAACIAAABk&#10;cnMvZG93bnJldi54bWxQSwECFAAUAAAACACHTuJAQHqzOkACAABeBAAADgAAAAAAAAABACAAAAAm&#10;AQAAZHJzL2Uyb0RvYy54bWxQSwUGAAAAAAYABgBZAQAA2AUAAAAA&#10;">
                <v:fill on="f" focussize="0,0"/>
                <v:stroke weight="2.5pt" color="#C0504D" joinstyle="round" dashstyle="1 1" endcap="round"/>
                <v:imagedata o:title=""/>
                <o:lock v:ext="edit" aspectratio="f"/>
                <v:textbox>
                  <w:txbxContent>
                    <w:p>
                      <w:pPr>
                        <w:spacing w:line="300" w:lineRule="exact"/>
                        <w:rPr>
                          <w:rFonts w:ascii="微软雅黑" w:hAnsi="微软雅黑" w:eastAsia="微软雅黑" w:cs="Times New Roman"/>
                          <w:b/>
                          <w:bCs/>
                          <w:sz w:val="18"/>
                          <w:szCs w:val="18"/>
                        </w:rPr>
                      </w:pPr>
                      <w:r>
                        <w:rPr>
                          <w:rFonts w:hint="eastAsia" w:ascii="微软雅黑" w:hAnsi="微软雅黑" w:eastAsia="微软雅黑" w:cs="Times New Roman"/>
                          <w:b/>
                          <w:bCs/>
                          <w:sz w:val="18"/>
                          <w:szCs w:val="18"/>
                        </w:rPr>
                        <w:t>交费须知：</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1、个人账户缴费： 请通过人大培训网发布的培训项目缴费链接（中国人民大学校园统一支付平台）进行缴费。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2、单位账户缴费：通过银行汇款缴费。</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收款单位：中国人民大学</w:t>
                      </w:r>
                    </w:p>
                    <w:p>
                      <w:pPr>
                        <w:spacing w:line="300" w:lineRule="exact"/>
                        <w:rPr>
                          <w:rFonts w:ascii="微软雅黑" w:hAnsi="微软雅黑" w:eastAsia="微软雅黑" w:cs="等线"/>
                          <w:sz w:val="18"/>
                          <w:szCs w:val="18"/>
                          <w:lang w:val="zh-CN"/>
                        </w:rPr>
                      </w:pPr>
                      <w:r>
                        <w:rPr>
                          <w:rFonts w:hint="eastAsia" w:ascii="微软雅黑" w:hAnsi="微软雅黑" w:eastAsia="微软雅黑" w:cs="等线"/>
                          <w:sz w:val="18"/>
                          <w:szCs w:val="18"/>
                          <w:lang w:val="zh-CN"/>
                        </w:rPr>
                        <w:t>收款帐号：0200 0076 0902 6400 244  </w:t>
                      </w:r>
                    </w:p>
                    <w:p>
                      <w:pPr>
                        <w:spacing w:line="300" w:lineRule="exact"/>
                        <w:rPr>
                          <w:sz w:val="18"/>
                          <w:szCs w:val="18"/>
                        </w:rPr>
                      </w:pPr>
                      <w:r>
                        <w:rPr>
                          <w:rFonts w:hint="eastAsia" w:ascii="微软雅黑" w:hAnsi="微软雅黑" w:eastAsia="微软雅黑" w:cs="等线"/>
                          <w:sz w:val="18"/>
                          <w:szCs w:val="18"/>
                          <w:lang w:val="zh-CN"/>
                        </w:rPr>
                        <w:t>特别说明：汇款时</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收款人（单位）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一栏均只填</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中国人民大学</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六字，在</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用途</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摘要</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栏里填上</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商学院董秘课程</w:t>
                      </w:r>
                      <w:r>
                        <w:rPr>
                          <w:rFonts w:hint="eastAsia" w:ascii="微软雅黑" w:hAnsi="微软雅黑" w:eastAsia="微软雅黑" w:cs="等线"/>
                          <w:sz w:val="18"/>
                          <w:szCs w:val="18"/>
                        </w:rPr>
                        <w:t>xxx</w:t>
                      </w:r>
                      <w:r>
                        <w:rPr>
                          <w:rFonts w:hint="eastAsia" w:ascii="微软雅黑" w:hAnsi="微软雅黑" w:eastAsia="微软雅黑" w:cs="等线"/>
                          <w:sz w:val="18"/>
                          <w:szCs w:val="18"/>
                          <w:lang w:val="zh-CN"/>
                        </w:rPr>
                        <w:t>（学员姓名</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培训费</w:t>
                      </w:r>
                      <w:r>
                        <w:rPr>
                          <w:rFonts w:ascii="微软雅黑" w:hAnsi="微软雅黑" w:eastAsia="微软雅黑" w:cs="等线"/>
                          <w:sz w:val="18"/>
                          <w:szCs w:val="18"/>
                          <w:lang w:val="zh-CN"/>
                        </w:rPr>
                        <w:t>”</w:t>
                      </w:r>
                      <w:r>
                        <w:rPr>
                          <w:rFonts w:hint="eastAsia" w:ascii="微软雅黑" w:hAnsi="微软雅黑" w:eastAsia="微软雅黑" w:cs="等线"/>
                          <w:sz w:val="18"/>
                          <w:szCs w:val="18"/>
                          <w:lang w:val="zh-CN"/>
                        </w:rPr>
                        <w:t>。</w:t>
                      </w:r>
                      <w:r>
                        <w:rPr>
                          <w:rFonts w:ascii="微软雅黑" w:hAnsi="微软雅黑" w:eastAsia="微软雅黑" w:cs="等线"/>
                          <w:sz w:val="18"/>
                          <w:szCs w:val="18"/>
                          <w:lang w:val="zh-CN"/>
                        </w:rPr>
                        <w:t xml:space="preserve"> 汇款后请将银行汇款回单</w:t>
                      </w:r>
                      <w:r>
                        <w:rPr>
                          <w:rFonts w:hint="eastAsia" w:ascii="微软雅黑" w:hAnsi="微软雅黑" w:eastAsia="微软雅黑" w:cs="等线"/>
                          <w:sz w:val="18"/>
                          <w:szCs w:val="18"/>
                          <w:lang w:val="zh-CN"/>
                        </w:rPr>
                        <w:t>回复至人大</w:t>
                      </w:r>
                      <w:r>
                        <w:rPr>
                          <w:rFonts w:ascii="微软雅黑" w:hAnsi="微软雅黑" w:eastAsia="微软雅黑" w:cs="等线"/>
                          <w:sz w:val="18"/>
                          <w:szCs w:val="18"/>
                          <w:lang w:val="zh-CN"/>
                        </w:rPr>
                        <w:t>商学院高层管理教育项目中心。</w:t>
                      </w:r>
                    </w:p>
                  </w:txbxContent>
                </v:textbox>
              </v:roundrect>
            </w:pict>
          </mc:Fallback>
        </mc:AlternateContent>
      </w:r>
    </w:p>
    <w:p>
      <w:pPr>
        <w:spacing w:line="360" w:lineRule="auto"/>
        <w:ind w:firstLine="420" w:firstLineChars="200"/>
        <w:rPr>
          <w:rFonts w:ascii="微软雅黑" w:hAnsi="微软雅黑" w:eastAsia="微软雅黑"/>
          <w:szCs w:val="21"/>
        </w:rPr>
      </w:pPr>
    </w:p>
    <w:p>
      <w:pPr>
        <w:spacing w:line="360" w:lineRule="auto"/>
        <w:ind w:firstLine="420" w:firstLineChars="200"/>
        <w:rPr>
          <w:rFonts w:ascii="微软雅黑" w:hAnsi="微软雅黑" w:eastAsia="微软雅黑"/>
          <w:szCs w:val="21"/>
        </w:rPr>
      </w:pPr>
    </w:p>
    <w:p>
      <w:pPr>
        <w:spacing w:line="360" w:lineRule="auto"/>
        <w:ind w:firstLine="420" w:firstLineChars="200"/>
        <w:rPr>
          <w:rFonts w:ascii="微软雅黑" w:hAnsi="微软雅黑" w:eastAsia="微软雅黑"/>
          <w:szCs w:val="21"/>
        </w:rPr>
      </w:pPr>
    </w:p>
    <w:p>
      <w:pPr>
        <w:spacing w:before="156" w:beforeLines="50" w:after="156" w:afterLines="50" w:line="600" w:lineRule="exact"/>
        <w:jc w:val="left"/>
        <w:rPr>
          <w:rFonts w:ascii="微软雅黑" w:hAnsi="微软雅黑" w:eastAsia="微软雅黑" w:cs="Times New Roman"/>
          <w:b/>
          <w:color w:val="C00000"/>
          <w:sz w:val="28"/>
          <w:szCs w:val="28"/>
        </w:rPr>
      </w:pPr>
      <w:r>
        <w:rPr>
          <w:rFonts w:ascii="微软雅黑" w:hAnsi="微软雅黑" w:eastAsia="微软雅黑" w:cs="Times New Roman"/>
          <w:b/>
          <w:color w:val="C00000"/>
          <w:sz w:val="28"/>
          <w:szCs w:val="28"/>
        </w:rPr>
        <w:t>授课地点</w:t>
      </w:r>
    </w:p>
    <w:p>
      <w:pPr>
        <w:spacing w:line="440" w:lineRule="exact"/>
        <w:rPr>
          <w:rFonts w:hint="eastAsia" w:ascii="微软雅黑" w:hAnsi="微软雅黑" w:eastAsia="微软雅黑"/>
          <w:szCs w:val="21"/>
        </w:rPr>
      </w:pPr>
      <w:r>
        <w:rPr>
          <w:rFonts w:hint="eastAsia" w:ascii="微软雅黑" w:hAnsi="微软雅黑" w:eastAsia="微软雅黑"/>
          <w:szCs w:val="21"/>
        </w:rPr>
        <w:t>北京（</w:t>
      </w:r>
      <w:r>
        <w:rPr>
          <w:rFonts w:ascii="微软雅黑" w:hAnsi="微软雅黑" w:eastAsia="微软雅黑"/>
          <w:szCs w:val="21"/>
        </w:rPr>
        <w:t>中国人民大学明德商学楼</w:t>
      </w:r>
      <w:r>
        <w:rPr>
          <w:rFonts w:hint="eastAsia" w:ascii="微软雅黑" w:hAnsi="微软雅黑" w:eastAsia="微软雅黑"/>
          <w:szCs w:val="21"/>
        </w:rPr>
        <w:t>）</w:t>
      </w:r>
    </w:p>
    <w:p>
      <w:pPr>
        <w:spacing w:before="156" w:beforeLines="50" w:after="156" w:afterLines="50" w:line="600" w:lineRule="exact"/>
        <w:jc w:val="left"/>
        <w:rPr>
          <w:rFonts w:ascii="微软雅黑" w:hAnsi="微软雅黑" w:eastAsia="微软雅黑" w:cs="Times New Roman"/>
          <w:b/>
          <w:color w:val="C00000"/>
          <w:sz w:val="28"/>
          <w:szCs w:val="28"/>
        </w:rPr>
      </w:pPr>
      <w:r>
        <w:rPr>
          <w:rFonts w:hint="eastAsia" w:ascii="微软雅黑" w:hAnsi="微软雅黑" w:eastAsia="微软雅黑" w:cs="Times New Roman"/>
          <w:b/>
          <w:color w:val="C00000"/>
          <w:sz w:val="28"/>
          <w:szCs w:val="28"/>
        </w:rPr>
        <w:t>部分学员名单</w:t>
      </w:r>
      <w:r>
        <w:rPr>
          <w:rFonts w:ascii="微软雅黑" w:hAnsi="微软雅黑" w:eastAsia="微软雅黑" w:cs="Times New Roman"/>
          <w:b/>
          <w:color w:val="C00000"/>
          <w:sz w:val="28"/>
          <w:szCs w:val="28"/>
        </w:rPr>
        <w:t xml:space="preserve"> </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中国智能</w:t>
      </w:r>
      <w:r>
        <w:rPr>
          <w:rFonts w:ascii="微软雅黑" w:hAnsi="微软雅黑" w:eastAsia="微软雅黑" w:cs="宋体"/>
          <w:kern w:val="0"/>
          <w:szCs w:val="21"/>
        </w:rPr>
        <w:t>交通</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亚新集团</w:t>
      </w:r>
      <w:r>
        <w:rPr>
          <w:rFonts w:hint="eastAsia" w:ascii="微软雅黑" w:hAnsi="微软雅黑" w:eastAsia="微软雅黑" w:cs="宋体"/>
          <w:kern w:val="0"/>
          <w:szCs w:val="21"/>
        </w:rPr>
        <w:tab/>
      </w:r>
      <w:r>
        <w:rPr>
          <w:rFonts w:hint="eastAsia" w:ascii="微软雅黑" w:hAnsi="微软雅黑" w:eastAsia="微软雅黑" w:cs="宋体"/>
          <w:kern w:val="0"/>
          <w:szCs w:val="21"/>
        </w:rPr>
        <w:t>集团副总裁</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中牧实业股份有限公司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公司副总法律顾问</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中铁建工</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新奥集团股份有限公司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财务管理部总经理</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大北农集团</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w:t>
      </w:r>
      <w:r>
        <w:rPr>
          <w:rFonts w:ascii="微软雅黑" w:hAnsi="微软雅黑" w:eastAsia="微软雅黑" w:cs="宋体"/>
          <w:kern w:val="0"/>
          <w:szCs w:val="21"/>
        </w:rPr>
        <w:t>秘书</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中国电子系统工程第四建设有限公司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董事会秘书&amp;HRD</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北京诺禾致源生物信息科技有限公司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首席运营官</w:t>
      </w:r>
    </w:p>
    <w:p>
      <w:pPr>
        <w:widowControl/>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北京盈和瑞环保工程有限公司</w:t>
      </w:r>
      <w:r>
        <w:rPr>
          <w:rFonts w:hint="eastAsia" w:ascii="微软雅黑" w:hAnsi="微软雅黑" w:eastAsia="微软雅黑"/>
          <w:szCs w:val="21"/>
        </w:rPr>
        <w:tab/>
      </w:r>
      <w:r>
        <w:rPr>
          <w:rFonts w:hint="eastAsia" w:ascii="微软雅黑" w:hAnsi="微软雅黑" w:eastAsia="微软雅黑"/>
          <w:szCs w:val="21"/>
        </w:rPr>
        <w:t>董事长</w:t>
      </w:r>
    </w:p>
    <w:p>
      <w:pPr>
        <w:widowControl/>
        <w:tabs>
          <w:tab w:val="left" w:pos="6237"/>
        </w:tabs>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北京卓为新能技术有限公司</w:t>
      </w:r>
      <w:r>
        <w:rPr>
          <w:rFonts w:hint="eastAsia" w:ascii="微软雅黑" w:hAnsi="微软雅黑" w:eastAsia="微软雅黑" w:cs="宋体"/>
          <w:kern w:val="0"/>
          <w:szCs w:val="21"/>
        </w:rPr>
        <w:tab/>
      </w:r>
      <w:r>
        <w:rPr>
          <w:rFonts w:hint="eastAsia" w:ascii="微软雅黑" w:hAnsi="微软雅黑" w:eastAsia="微软雅黑" w:cs="宋体"/>
          <w:kern w:val="0"/>
          <w:szCs w:val="21"/>
        </w:rPr>
        <w:t>董事长</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 xml:space="preserve">中信国安 </w:t>
      </w:r>
      <w:r>
        <w:rPr>
          <w:rFonts w:hint="eastAsia" w:ascii="微软雅黑" w:hAnsi="微软雅黑" w:eastAsia="微软雅黑"/>
          <w:szCs w:val="21"/>
        </w:rPr>
        <w:tab/>
      </w:r>
      <w:r>
        <w:rPr>
          <w:rFonts w:hint="eastAsia" w:ascii="微软雅黑" w:hAnsi="微软雅黑" w:eastAsia="微软雅黑"/>
          <w:szCs w:val="21"/>
        </w:rPr>
        <w:t>副总经理</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 xml:space="preserve">内蒙古兴业矿业股份有限公司 </w:t>
      </w:r>
      <w:r>
        <w:rPr>
          <w:rFonts w:hint="eastAsia" w:ascii="微软雅黑" w:hAnsi="微软雅黑" w:eastAsia="微软雅黑"/>
          <w:szCs w:val="21"/>
        </w:rPr>
        <w:tab/>
      </w:r>
      <w:r>
        <w:rPr>
          <w:rFonts w:hint="eastAsia" w:ascii="微软雅黑" w:hAnsi="微软雅黑" w:eastAsia="微软雅黑"/>
          <w:szCs w:val="21"/>
        </w:rPr>
        <w:t>董事会</w:t>
      </w:r>
      <w:r>
        <w:rPr>
          <w:rFonts w:ascii="微软雅黑" w:hAnsi="微软雅黑" w:eastAsia="微软雅黑"/>
          <w:szCs w:val="21"/>
        </w:rPr>
        <w:t>秘书</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宗申产业集团</w:t>
      </w:r>
      <w:r>
        <w:rPr>
          <w:rFonts w:hint="eastAsia" w:ascii="微软雅黑" w:hAnsi="微软雅黑" w:eastAsia="微软雅黑"/>
          <w:szCs w:val="21"/>
        </w:rPr>
        <w:tab/>
      </w:r>
      <w:r>
        <w:rPr>
          <w:rFonts w:hint="eastAsia" w:ascii="微软雅黑" w:hAnsi="微软雅黑" w:eastAsia="微软雅黑"/>
          <w:szCs w:val="21"/>
        </w:rPr>
        <w:t xml:space="preserve">人力资源部HRM                                        </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华耐家居集团</w:t>
      </w:r>
      <w:r>
        <w:rPr>
          <w:rFonts w:hint="eastAsia" w:ascii="微软雅黑" w:hAnsi="微软雅黑" w:eastAsia="微软雅黑"/>
          <w:szCs w:val="21"/>
        </w:rPr>
        <w:tab/>
      </w:r>
      <w:r>
        <w:rPr>
          <w:rFonts w:hint="eastAsia" w:ascii="微软雅黑" w:hAnsi="微软雅黑" w:eastAsia="微软雅黑"/>
          <w:szCs w:val="21"/>
        </w:rPr>
        <w:t>财务总经理</w:t>
      </w:r>
    </w:p>
    <w:p>
      <w:pPr>
        <w:tabs>
          <w:tab w:val="left" w:pos="6237"/>
        </w:tabs>
        <w:spacing w:line="400" w:lineRule="exact"/>
        <w:jc w:val="left"/>
        <w:rPr>
          <w:rFonts w:ascii="微软雅黑" w:hAnsi="微软雅黑" w:eastAsia="微软雅黑"/>
          <w:szCs w:val="21"/>
        </w:rPr>
      </w:pPr>
      <w:r>
        <w:rPr>
          <w:rFonts w:hint="eastAsia" w:ascii="微软雅黑" w:hAnsi="微软雅黑" w:eastAsia="微软雅黑"/>
          <w:szCs w:val="21"/>
        </w:rPr>
        <w:t>锦州银行</w:t>
      </w:r>
      <w:r>
        <w:rPr>
          <w:rFonts w:hint="eastAsia" w:ascii="微软雅黑" w:hAnsi="微软雅黑" w:eastAsia="微软雅黑"/>
          <w:szCs w:val="21"/>
        </w:rPr>
        <w:tab/>
      </w:r>
      <w:r>
        <w:rPr>
          <w:rFonts w:hint="eastAsia" w:ascii="微软雅黑" w:hAnsi="微软雅黑" w:eastAsia="微软雅黑"/>
          <w:szCs w:val="21"/>
        </w:rPr>
        <w:t>董事</w:t>
      </w:r>
      <w:r>
        <w:rPr>
          <w:rFonts w:ascii="微软雅黑" w:hAnsi="微软雅黑" w:eastAsia="微软雅黑"/>
          <w:szCs w:val="21"/>
        </w:rPr>
        <w:t>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贵州银行股份有限公司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二六三网络通信股份有限公司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艾利艾集团 </w:t>
      </w:r>
      <w:r>
        <w:rPr>
          <w:rFonts w:ascii="微软雅黑" w:hAnsi="微软雅黑" w:eastAsia="微软雅黑"/>
          <w:szCs w:val="21"/>
        </w:rPr>
        <w:t xml:space="preserve">                                                 </w:t>
      </w:r>
      <w:r>
        <w:rPr>
          <w:rFonts w:hint="eastAsia" w:ascii="微软雅黑" w:hAnsi="微软雅黑" w:eastAsia="微软雅黑"/>
          <w:szCs w:val="21"/>
        </w:rPr>
        <w:t>董事会秘书</w:t>
      </w:r>
    </w:p>
    <w:p>
      <w:pPr>
        <w:spacing w:line="400" w:lineRule="exact"/>
        <w:jc w:val="left"/>
        <w:rPr>
          <w:rFonts w:ascii="微软雅黑" w:hAnsi="微软雅黑" w:eastAsia="微软雅黑"/>
          <w:szCs w:val="21"/>
        </w:rPr>
      </w:pPr>
      <w:r>
        <w:rPr>
          <w:rFonts w:hint="eastAsia" w:ascii="微软雅黑" w:hAnsi="微软雅黑" w:eastAsia="微软雅黑"/>
          <w:szCs w:val="21"/>
        </w:rPr>
        <w:t xml:space="preserve">威高集团 </w:t>
      </w:r>
      <w:r>
        <w:rPr>
          <w:rFonts w:ascii="微软雅黑" w:hAnsi="微软雅黑" w:eastAsia="微软雅黑"/>
          <w:szCs w:val="21"/>
        </w:rPr>
        <w:t xml:space="preserve">                                                   </w:t>
      </w:r>
      <w:r>
        <w:rPr>
          <w:rFonts w:hint="eastAsia" w:ascii="微软雅黑" w:hAnsi="微软雅黑" w:eastAsia="微软雅黑"/>
          <w:szCs w:val="21"/>
        </w:rPr>
        <w:t>人力资源部HRM</w:t>
      </w:r>
    </w:p>
    <w:p>
      <w:pPr>
        <w:spacing w:line="400" w:lineRule="exact"/>
        <w:jc w:val="left"/>
        <w:rPr>
          <w:rFonts w:ascii="微软雅黑" w:hAnsi="微软雅黑" w:eastAsia="微软雅黑"/>
          <w:szCs w:val="21"/>
        </w:rPr>
      </w:pPr>
    </w:p>
    <w:sectPr>
      <w:headerReference r:id="rId3" w:type="default"/>
      <w:footerReference r:id="rId4" w:type="default"/>
      <w:pgSz w:w="11906" w:h="16838"/>
      <w:pgMar w:top="1418" w:right="1418" w:bottom="1418" w:left="141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gency FB">
    <w:altName w:val="Yu Gothic UI"/>
    <w:panose1 w:val="020B0503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val="en-US" w:eastAsia="zh-CN"/>
      </w:rPr>
      <w:t xml:space="preserve">联系人：13439064501（同微信）   陈老师     </w:t>
    </w:r>
    <w:r>
      <w:rPr>
        <w:rFonts w:hint="eastAsia"/>
        <w:lang w:val="en-US" w:eastAsia="zh-CN"/>
      </w:rPr>
      <w:fldChar w:fldCharType="begin"/>
    </w:r>
    <w:r>
      <w:rPr>
        <w:rFonts w:hint="eastAsia"/>
        <w:lang w:val="en-US" w:eastAsia="zh-CN"/>
      </w:rPr>
      <w:instrText xml:space="preserve"> HYPERLINK "http://www.gototsinghua.org.cn" </w:instrText>
    </w:r>
    <w:r>
      <w:rPr>
        <w:rFonts w:hint="eastAsia"/>
        <w:lang w:val="en-US" w:eastAsia="zh-CN"/>
      </w:rPr>
      <w:fldChar w:fldCharType="separate"/>
    </w:r>
    <w:r>
      <w:rPr>
        <w:rStyle w:val="13"/>
        <w:rFonts w:hint="eastAsia"/>
        <w:lang w:val="en-US" w:eastAsia="zh-CN"/>
      </w:rPr>
      <w:t>www.gototsinghua.org.cn</w:t>
    </w:r>
    <w:r>
      <w:rPr>
        <w:rFonts w:hint="eastAsia"/>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1455420" cy="38798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5333" cy="4230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005E"/>
    <w:multiLevelType w:val="singleLevel"/>
    <w:tmpl w:val="3706005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14"/>
    <w:rsid w:val="00001953"/>
    <w:rsid w:val="00002642"/>
    <w:rsid w:val="00017A13"/>
    <w:rsid w:val="000200C3"/>
    <w:rsid w:val="00022538"/>
    <w:rsid w:val="000232DC"/>
    <w:rsid w:val="00035536"/>
    <w:rsid w:val="00040587"/>
    <w:rsid w:val="000420FF"/>
    <w:rsid w:val="0004302C"/>
    <w:rsid w:val="000435EB"/>
    <w:rsid w:val="00047CFC"/>
    <w:rsid w:val="00055F4E"/>
    <w:rsid w:val="0006123A"/>
    <w:rsid w:val="00061472"/>
    <w:rsid w:val="00061AC0"/>
    <w:rsid w:val="00062D46"/>
    <w:rsid w:val="000635FC"/>
    <w:rsid w:val="00065BF6"/>
    <w:rsid w:val="00066126"/>
    <w:rsid w:val="00070F38"/>
    <w:rsid w:val="00071DF2"/>
    <w:rsid w:val="00080177"/>
    <w:rsid w:val="000853E1"/>
    <w:rsid w:val="00085491"/>
    <w:rsid w:val="0009021D"/>
    <w:rsid w:val="000966A0"/>
    <w:rsid w:val="000A0607"/>
    <w:rsid w:val="000A0FAF"/>
    <w:rsid w:val="000A1724"/>
    <w:rsid w:val="000A248D"/>
    <w:rsid w:val="000A4552"/>
    <w:rsid w:val="000C218E"/>
    <w:rsid w:val="000C6025"/>
    <w:rsid w:val="000D23B6"/>
    <w:rsid w:val="000E1E38"/>
    <w:rsid w:val="000F574E"/>
    <w:rsid w:val="00103B93"/>
    <w:rsid w:val="00111632"/>
    <w:rsid w:val="00117812"/>
    <w:rsid w:val="00125C99"/>
    <w:rsid w:val="00127B54"/>
    <w:rsid w:val="001358CB"/>
    <w:rsid w:val="0014296B"/>
    <w:rsid w:val="00143C65"/>
    <w:rsid w:val="0014427C"/>
    <w:rsid w:val="001577ED"/>
    <w:rsid w:val="00157D11"/>
    <w:rsid w:val="001654E8"/>
    <w:rsid w:val="00166B46"/>
    <w:rsid w:val="00167926"/>
    <w:rsid w:val="001759C1"/>
    <w:rsid w:val="001804DC"/>
    <w:rsid w:val="001925CB"/>
    <w:rsid w:val="001948A9"/>
    <w:rsid w:val="001967BC"/>
    <w:rsid w:val="001978FD"/>
    <w:rsid w:val="001A2EC2"/>
    <w:rsid w:val="001A5E72"/>
    <w:rsid w:val="001B1E5E"/>
    <w:rsid w:val="001B3A45"/>
    <w:rsid w:val="001B3D67"/>
    <w:rsid w:val="001B4041"/>
    <w:rsid w:val="001B4A9C"/>
    <w:rsid w:val="001B6A02"/>
    <w:rsid w:val="001B707D"/>
    <w:rsid w:val="001C62D9"/>
    <w:rsid w:val="001C7CD6"/>
    <w:rsid w:val="001D08E6"/>
    <w:rsid w:val="001D0A13"/>
    <w:rsid w:val="001D620F"/>
    <w:rsid w:val="001D7480"/>
    <w:rsid w:val="001D74F3"/>
    <w:rsid w:val="001E2380"/>
    <w:rsid w:val="001F61BD"/>
    <w:rsid w:val="002025EC"/>
    <w:rsid w:val="00202E87"/>
    <w:rsid w:val="0020326D"/>
    <w:rsid w:val="0020540C"/>
    <w:rsid w:val="002060C2"/>
    <w:rsid w:val="00207D79"/>
    <w:rsid w:val="00211815"/>
    <w:rsid w:val="0021572A"/>
    <w:rsid w:val="00215E42"/>
    <w:rsid w:val="00220269"/>
    <w:rsid w:val="00222F3B"/>
    <w:rsid w:val="00224342"/>
    <w:rsid w:val="0022565A"/>
    <w:rsid w:val="00226088"/>
    <w:rsid w:val="00233EEB"/>
    <w:rsid w:val="00235E92"/>
    <w:rsid w:val="002402A1"/>
    <w:rsid w:val="00243D7D"/>
    <w:rsid w:val="002543F5"/>
    <w:rsid w:val="002561EE"/>
    <w:rsid w:val="002574C6"/>
    <w:rsid w:val="00266E68"/>
    <w:rsid w:val="00272CF1"/>
    <w:rsid w:val="0027326F"/>
    <w:rsid w:val="00283F19"/>
    <w:rsid w:val="002870EA"/>
    <w:rsid w:val="00290249"/>
    <w:rsid w:val="002915E0"/>
    <w:rsid w:val="00293755"/>
    <w:rsid w:val="00295B63"/>
    <w:rsid w:val="002962B7"/>
    <w:rsid w:val="002970F0"/>
    <w:rsid w:val="002A1414"/>
    <w:rsid w:val="002A64B9"/>
    <w:rsid w:val="002B0BFE"/>
    <w:rsid w:val="002B69FC"/>
    <w:rsid w:val="002B7354"/>
    <w:rsid w:val="002C1553"/>
    <w:rsid w:val="002C43E7"/>
    <w:rsid w:val="002D1133"/>
    <w:rsid w:val="002D21CE"/>
    <w:rsid w:val="002D3338"/>
    <w:rsid w:val="002D4227"/>
    <w:rsid w:val="002D520B"/>
    <w:rsid w:val="002D5572"/>
    <w:rsid w:val="002D5864"/>
    <w:rsid w:val="002E00A4"/>
    <w:rsid w:val="002E1CA9"/>
    <w:rsid w:val="002E4EE3"/>
    <w:rsid w:val="002F1C84"/>
    <w:rsid w:val="002F5F95"/>
    <w:rsid w:val="00300232"/>
    <w:rsid w:val="00301262"/>
    <w:rsid w:val="003013FA"/>
    <w:rsid w:val="003016EC"/>
    <w:rsid w:val="00310310"/>
    <w:rsid w:val="00314307"/>
    <w:rsid w:val="003172BB"/>
    <w:rsid w:val="00331F62"/>
    <w:rsid w:val="00333ED9"/>
    <w:rsid w:val="00336C72"/>
    <w:rsid w:val="00340AC2"/>
    <w:rsid w:val="00346047"/>
    <w:rsid w:val="00356FC5"/>
    <w:rsid w:val="00357E0B"/>
    <w:rsid w:val="003632C0"/>
    <w:rsid w:val="003640AC"/>
    <w:rsid w:val="00367CB6"/>
    <w:rsid w:val="003732E9"/>
    <w:rsid w:val="0038457F"/>
    <w:rsid w:val="00384C51"/>
    <w:rsid w:val="00391427"/>
    <w:rsid w:val="00393079"/>
    <w:rsid w:val="00394FE1"/>
    <w:rsid w:val="00397018"/>
    <w:rsid w:val="003A3DCE"/>
    <w:rsid w:val="003A3EF7"/>
    <w:rsid w:val="003B26C1"/>
    <w:rsid w:val="003B7623"/>
    <w:rsid w:val="003C4E5A"/>
    <w:rsid w:val="003D007A"/>
    <w:rsid w:val="003D0E67"/>
    <w:rsid w:val="003D1619"/>
    <w:rsid w:val="003D4A7A"/>
    <w:rsid w:val="003D5346"/>
    <w:rsid w:val="003D7DB2"/>
    <w:rsid w:val="003E5ECD"/>
    <w:rsid w:val="003E7DE8"/>
    <w:rsid w:val="003F04F5"/>
    <w:rsid w:val="003F6F69"/>
    <w:rsid w:val="003F740E"/>
    <w:rsid w:val="003F7E36"/>
    <w:rsid w:val="00406D52"/>
    <w:rsid w:val="00411212"/>
    <w:rsid w:val="0041217E"/>
    <w:rsid w:val="004210BE"/>
    <w:rsid w:val="0042223E"/>
    <w:rsid w:val="0042314A"/>
    <w:rsid w:val="004254FD"/>
    <w:rsid w:val="00425695"/>
    <w:rsid w:val="00427DF4"/>
    <w:rsid w:val="004300ED"/>
    <w:rsid w:val="00436903"/>
    <w:rsid w:val="00436C95"/>
    <w:rsid w:val="00436E24"/>
    <w:rsid w:val="004404DB"/>
    <w:rsid w:val="004447D8"/>
    <w:rsid w:val="00446B54"/>
    <w:rsid w:val="00454141"/>
    <w:rsid w:val="00455B17"/>
    <w:rsid w:val="00456980"/>
    <w:rsid w:val="0046029B"/>
    <w:rsid w:val="004656D6"/>
    <w:rsid w:val="00471441"/>
    <w:rsid w:val="00472053"/>
    <w:rsid w:val="00474730"/>
    <w:rsid w:val="00474794"/>
    <w:rsid w:val="00475E43"/>
    <w:rsid w:val="00491AA5"/>
    <w:rsid w:val="00496DF2"/>
    <w:rsid w:val="004B1EE1"/>
    <w:rsid w:val="004B225E"/>
    <w:rsid w:val="004B263C"/>
    <w:rsid w:val="004B3E62"/>
    <w:rsid w:val="004B4B2D"/>
    <w:rsid w:val="004C2586"/>
    <w:rsid w:val="004C5492"/>
    <w:rsid w:val="004C7A88"/>
    <w:rsid w:val="004C7BDD"/>
    <w:rsid w:val="004D1718"/>
    <w:rsid w:val="004D5A48"/>
    <w:rsid w:val="004D7F4B"/>
    <w:rsid w:val="004E3925"/>
    <w:rsid w:val="004F01C0"/>
    <w:rsid w:val="004F34C7"/>
    <w:rsid w:val="00500ABE"/>
    <w:rsid w:val="00501D77"/>
    <w:rsid w:val="005037F0"/>
    <w:rsid w:val="00505A44"/>
    <w:rsid w:val="00507C71"/>
    <w:rsid w:val="00511D3D"/>
    <w:rsid w:val="005173FE"/>
    <w:rsid w:val="00521237"/>
    <w:rsid w:val="00532740"/>
    <w:rsid w:val="005331A5"/>
    <w:rsid w:val="00535A8F"/>
    <w:rsid w:val="00541A32"/>
    <w:rsid w:val="00544E4F"/>
    <w:rsid w:val="00550B8F"/>
    <w:rsid w:val="00552ED7"/>
    <w:rsid w:val="00560389"/>
    <w:rsid w:val="0056056F"/>
    <w:rsid w:val="00561468"/>
    <w:rsid w:val="0056793C"/>
    <w:rsid w:val="00570169"/>
    <w:rsid w:val="005740F1"/>
    <w:rsid w:val="0057421A"/>
    <w:rsid w:val="00580307"/>
    <w:rsid w:val="005808A8"/>
    <w:rsid w:val="00580E31"/>
    <w:rsid w:val="00587640"/>
    <w:rsid w:val="00593018"/>
    <w:rsid w:val="00594257"/>
    <w:rsid w:val="005B59F1"/>
    <w:rsid w:val="005B5E86"/>
    <w:rsid w:val="005B7E38"/>
    <w:rsid w:val="005C770F"/>
    <w:rsid w:val="005D3F8A"/>
    <w:rsid w:val="005D5CC5"/>
    <w:rsid w:val="005F1C9D"/>
    <w:rsid w:val="005F23A0"/>
    <w:rsid w:val="005F68F1"/>
    <w:rsid w:val="00602445"/>
    <w:rsid w:val="00604263"/>
    <w:rsid w:val="006107CD"/>
    <w:rsid w:val="006133A6"/>
    <w:rsid w:val="0061534F"/>
    <w:rsid w:val="0061640E"/>
    <w:rsid w:val="00626071"/>
    <w:rsid w:val="00627264"/>
    <w:rsid w:val="00632FC8"/>
    <w:rsid w:val="00633339"/>
    <w:rsid w:val="00637F9A"/>
    <w:rsid w:val="006421D9"/>
    <w:rsid w:val="0064325C"/>
    <w:rsid w:val="00645817"/>
    <w:rsid w:val="00651F09"/>
    <w:rsid w:val="00653A2D"/>
    <w:rsid w:val="00656AFA"/>
    <w:rsid w:val="006642CA"/>
    <w:rsid w:val="006658CC"/>
    <w:rsid w:val="00673BAA"/>
    <w:rsid w:val="00674167"/>
    <w:rsid w:val="00677210"/>
    <w:rsid w:val="00677303"/>
    <w:rsid w:val="00677DDE"/>
    <w:rsid w:val="00693642"/>
    <w:rsid w:val="00693715"/>
    <w:rsid w:val="00694229"/>
    <w:rsid w:val="0069763F"/>
    <w:rsid w:val="0069796F"/>
    <w:rsid w:val="006A7A05"/>
    <w:rsid w:val="006C024F"/>
    <w:rsid w:val="006C21F7"/>
    <w:rsid w:val="006C78BC"/>
    <w:rsid w:val="006D337A"/>
    <w:rsid w:val="006E1DB9"/>
    <w:rsid w:val="006E47E8"/>
    <w:rsid w:val="006E6A03"/>
    <w:rsid w:val="006F2C19"/>
    <w:rsid w:val="006F3960"/>
    <w:rsid w:val="006F6294"/>
    <w:rsid w:val="006F7EF0"/>
    <w:rsid w:val="006F7F94"/>
    <w:rsid w:val="0070055B"/>
    <w:rsid w:val="00704998"/>
    <w:rsid w:val="00707CCB"/>
    <w:rsid w:val="007102D7"/>
    <w:rsid w:val="00716308"/>
    <w:rsid w:val="00716AEE"/>
    <w:rsid w:val="00723853"/>
    <w:rsid w:val="00725BD4"/>
    <w:rsid w:val="00727CD4"/>
    <w:rsid w:val="00727FB6"/>
    <w:rsid w:val="007358E8"/>
    <w:rsid w:val="0073682D"/>
    <w:rsid w:val="00747E57"/>
    <w:rsid w:val="0075583A"/>
    <w:rsid w:val="007572A8"/>
    <w:rsid w:val="00760AC6"/>
    <w:rsid w:val="00764D03"/>
    <w:rsid w:val="00765933"/>
    <w:rsid w:val="00765A1E"/>
    <w:rsid w:val="007706F1"/>
    <w:rsid w:val="00780B63"/>
    <w:rsid w:val="007922D3"/>
    <w:rsid w:val="00793439"/>
    <w:rsid w:val="007950C2"/>
    <w:rsid w:val="00795384"/>
    <w:rsid w:val="00795F12"/>
    <w:rsid w:val="00796AE7"/>
    <w:rsid w:val="00797FEB"/>
    <w:rsid w:val="007A2A07"/>
    <w:rsid w:val="007A5E95"/>
    <w:rsid w:val="007B0B83"/>
    <w:rsid w:val="007B369B"/>
    <w:rsid w:val="007C50A2"/>
    <w:rsid w:val="007D28EE"/>
    <w:rsid w:val="007D6689"/>
    <w:rsid w:val="007D7CC3"/>
    <w:rsid w:val="007E5AC4"/>
    <w:rsid w:val="007F1C21"/>
    <w:rsid w:val="007F2C9E"/>
    <w:rsid w:val="007F3B24"/>
    <w:rsid w:val="007F4203"/>
    <w:rsid w:val="00800328"/>
    <w:rsid w:val="00801274"/>
    <w:rsid w:val="00805E56"/>
    <w:rsid w:val="00813428"/>
    <w:rsid w:val="008145B2"/>
    <w:rsid w:val="0081729D"/>
    <w:rsid w:val="008217DC"/>
    <w:rsid w:val="00822C28"/>
    <w:rsid w:val="00825B70"/>
    <w:rsid w:val="0083333E"/>
    <w:rsid w:val="00836B7C"/>
    <w:rsid w:val="00842F81"/>
    <w:rsid w:val="00844198"/>
    <w:rsid w:val="00847D6B"/>
    <w:rsid w:val="0085002F"/>
    <w:rsid w:val="008533AA"/>
    <w:rsid w:val="00853920"/>
    <w:rsid w:val="008568EA"/>
    <w:rsid w:val="00860A2B"/>
    <w:rsid w:val="00860FCC"/>
    <w:rsid w:val="0086324B"/>
    <w:rsid w:val="00882180"/>
    <w:rsid w:val="00882F4F"/>
    <w:rsid w:val="00884FDB"/>
    <w:rsid w:val="008864E5"/>
    <w:rsid w:val="00886DF8"/>
    <w:rsid w:val="008902C1"/>
    <w:rsid w:val="00890AEF"/>
    <w:rsid w:val="00890F09"/>
    <w:rsid w:val="00892996"/>
    <w:rsid w:val="008A1D98"/>
    <w:rsid w:val="008A5B17"/>
    <w:rsid w:val="008A6583"/>
    <w:rsid w:val="008B1796"/>
    <w:rsid w:val="008B2E9A"/>
    <w:rsid w:val="008B4D3A"/>
    <w:rsid w:val="008B593E"/>
    <w:rsid w:val="008D125C"/>
    <w:rsid w:val="008D1417"/>
    <w:rsid w:val="008D2C03"/>
    <w:rsid w:val="008D66E9"/>
    <w:rsid w:val="008D7BD1"/>
    <w:rsid w:val="008E7BC3"/>
    <w:rsid w:val="008F48F7"/>
    <w:rsid w:val="008F5E01"/>
    <w:rsid w:val="00902F95"/>
    <w:rsid w:val="009033AF"/>
    <w:rsid w:val="00904083"/>
    <w:rsid w:val="0091305A"/>
    <w:rsid w:val="00926D9E"/>
    <w:rsid w:val="00933C32"/>
    <w:rsid w:val="00933F95"/>
    <w:rsid w:val="00936C87"/>
    <w:rsid w:val="009406D8"/>
    <w:rsid w:val="00940B78"/>
    <w:rsid w:val="00941B45"/>
    <w:rsid w:val="00944D0E"/>
    <w:rsid w:val="0094638D"/>
    <w:rsid w:val="00947D54"/>
    <w:rsid w:val="00951CE2"/>
    <w:rsid w:val="00960485"/>
    <w:rsid w:val="00964076"/>
    <w:rsid w:val="00965E14"/>
    <w:rsid w:val="00972375"/>
    <w:rsid w:val="0097306A"/>
    <w:rsid w:val="00995D28"/>
    <w:rsid w:val="009A1162"/>
    <w:rsid w:val="009A11CE"/>
    <w:rsid w:val="009A68F2"/>
    <w:rsid w:val="009B2B1B"/>
    <w:rsid w:val="009B47E4"/>
    <w:rsid w:val="009B6446"/>
    <w:rsid w:val="009B6B52"/>
    <w:rsid w:val="009E2DFA"/>
    <w:rsid w:val="009E3222"/>
    <w:rsid w:val="009E4D2F"/>
    <w:rsid w:val="009E5556"/>
    <w:rsid w:val="009F64BF"/>
    <w:rsid w:val="00A02420"/>
    <w:rsid w:val="00A04B54"/>
    <w:rsid w:val="00A05D49"/>
    <w:rsid w:val="00A13C3B"/>
    <w:rsid w:val="00A211A9"/>
    <w:rsid w:val="00A2168A"/>
    <w:rsid w:val="00A24B19"/>
    <w:rsid w:val="00A25636"/>
    <w:rsid w:val="00A30DA1"/>
    <w:rsid w:val="00A506E5"/>
    <w:rsid w:val="00A53657"/>
    <w:rsid w:val="00A54BF8"/>
    <w:rsid w:val="00A56B9C"/>
    <w:rsid w:val="00A65E1A"/>
    <w:rsid w:val="00A72EC4"/>
    <w:rsid w:val="00A7349D"/>
    <w:rsid w:val="00A7629A"/>
    <w:rsid w:val="00A778AB"/>
    <w:rsid w:val="00A77A69"/>
    <w:rsid w:val="00A800EE"/>
    <w:rsid w:val="00A836E1"/>
    <w:rsid w:val="00A84D86"/>
    <w:rsid w:val="00A85594"/>
    <w:rsid w:val="00A94085"/>
    <w:rsid w:val="00AA6D50"/>
    <w:rsid w:val="00AB104E"/>
    <w:rsid w:val="00AB5EB6"/>
    <w:rsid w:val="00AC02F5"/>
    <w:rsid w:val="00AC3215"/>
    <w:rsid w:val="00AC589C"/>
    <w:rsid w:val="00AC66D5"/>
    <w:rsid w:val="00AD0EFB"/>
    <w:rsid w:val="00AD2703"/>
    <w:rsid w:val="00AD4910"/>
    <w:rsid w:val="00AD5782"/>
    <w:rsid w:val="00AD593F"/>
    <w:rsid w:val="00AE0CE2"/>
    <w:rsid w:val="00AE2E8F"/>
    <w:rsid w:val="00AE61B3"/>
    <w:rsid w:val="00AF74C7"/>
    <w:rsid w:val="00AF7FD9"/>
    <w:rsid w:val="00B1293B"/>
    <w:rsid w:val="00B22503"/>
    <w:rsid w:val="00B229D6"/>
    <w:rsid w:val="00B24AFF"/>
    <w:rsid w:val="00B255BC"/>
    <w:rsid w:val="00B27A75"/>
    <w:rsid w:val="00B300BF"/>
    <w:rsid w:val="00B3311B"/>
    <w:rsid w:val="00B332F9"/>
    <w:rsid w:val="00B35928"/>
    <w:rsid w:val="00B40204"/>
    <w:rsid w:val="00B4743F"/>
    <w:rsid w:val="00B4778A"/>
    <w:rsid w:val="00B508A8"/>
    <w:rsid w:val="00B5100C"/>
    <w:rsid w:val="00B51327"/>
    <w:rsid w:val="00B73669"/>
    <w:rsid w:val="00B771EF"/>
    <w:rsid w:val="00B8124D"/>
    <w:rsid w:val="00B81445"/>
    <w:rsid w:val="00B872F8"/>
    <w:rsid w:val="00BA29AC"/>
    <w:rsid w:val="00BC0060"/>
    <w:rsid w:val="00BC20AA"/>
    <w:rsid w:val="00BC55DF"/>
    <w:rsid w:val="00BD44E6"/>
    <w:rsid w:val="00BD6587"/>
    <w:rsid w:val="00BF193A"/>
    <w:rsid w:val="00BF310D"/>
    <w:rsid w:val="00BF55DC"/>
    <w:rsid w:val="00BF7DB7"/>
    <w:rsid w:val="00C0272C"/>
    <w:rsid w:val="00C034BF"/>
    <w:rsid w:val="00C04C0A"/>
    <w:rsid w:val="00C12DD4"/>
    <w:rsid w:val="00C1309A"/>
    <w:rsid w:val="00C165AE"/>
    <w:rsid w:val="00C16922"/>
    <w:rsid w:val="00C200B3"/>
    <w:rsid w:val="00C24B17"/>
    <w:rsid w:val="00C33F47"/>
    <w:rsid w:val="00C35BEB"/>
    <w:rsid w:val="00C41775"/>
    <w:rsid w:val="00C43843"/>
    <w:rsid w:val="00C43BBD"/>
    <w:rsid w:val="00C43FA6"/>
    <w:rsid w:val="00C537F1"/>
    <w:rsid w:val="00C54F35"/>
    <w:rsid w:val="00C57288"/>
    <w:rsid w:val="00C64E34"/>
    <w:rsid w:val="00C67E57"/>
    <w:rsid w:val="00C700CB"/>
    <w:rsid w:val="00C95623"/>
    <w:rsid w:val="00C979B6"/>
    <w:rsid w:val="00CB0924"/>
    <w:rsid w:val="00CB4F55"/>
    <w:rsid w:val="00CC242B"/>
    <w:rsid w:val="00CC3787"/>
    <w:rsid w:val="00CC5D85"/>
    <w:rsid w:val="00CC67D5"/>
    <w:rsid w:val="00CD0CB5"/>
    <w:rsid w:val="00CD3A9C"/>
    <w:rsid w:val="00CE1CA1"/>
    <w:rsid w:val="00CE38F2"/>
    <w:rsid w:val="00CE572E"/>
    <w:rsid w:val="00CF18A1"/>
    <w:rsid w:val="00CF7901"/>
    <w:rsid w:val="00D047EB"/>
    <w:rsid w:val="00D06297"/>
    <w:rsid w:val="00D079D1"/>
    <w:rsid w:val="00D23FED"/>
    <w:rsid w:val="00D25311"/>
    <w:rsid w:val="00D3087D"/>
    <w:rsid w:val="00D3727B"/>
    <w:rsid w:val="00D4425A"/>
    <w:rsid w:val="00D5025A"/>
    <w:rsid w:val="00D54478"/>
    <w:rsid w:val="00D562F5"/>
    <w:rsid w:val="00D64B77"/>
    <w:rsid w:val="00D733E1"/>
    <w:rsid w:val="00D73B6D"/>
    <w:rsid w:val="00D866CE"/>
    <w:rsid w:val="00DB5D9F"/>
    <w:rsid w:val="00DD112F"/>
    <w:rsid w:val="00DD466F"/>
    <w:rsid w:val="00DE1D01"/>
    <w:rsid w:val="00DE1E78"/>
    <w:rsid w:val="00DE4F12"/>
    <w:rsid w:val="00DE76EC"/>
    <w:rsid w:val="00DE7FC5"/>
    <w:rsid w:val="00DF1F17"/>
    <w:rsid w:val="00DF392C"/>
    <w:rsid w:val="00DF4FC4"/>
    <w:rsid w:val="00E02B76"/>
    <w:rsid w:val="00E1406B"/>
    <w:rsid w:val="00E217B3"/>
    <w:rsid w:val="00E2490B"/>
    <w:rsid w:val="00E26628"/>
    <w:rsid w:val="00E30D3F"/>
    <w:rsid w:val="00E30FC1"/>
    <w:rsid w:val="00E347B8"/>
    <w:rsid w:val="00E34F69"/>
    <w:rsid w:val="00E409DA"/>
    <w:rsid w:val="00E51158"/>
    <w:rsid w:val="00E545F6"/>
    <w:rsid w:val="00E67E6F"/>
    <w:rsid w:val="00E70729"/>
    <w:rsid w:val="00E71383"/>
    <w:rsid w:val="00E7138B"/>
    <w:rsid w:val="00E724AF"/>
    <w:rsid w:val="00E73F54"/>
    <w:rsid w:val="00E82F03"/>
    <w:rsid w:val="00E85AD9"/>
    <w:rsid w:val="00E87252"/>
    <w:rsid w:val="00E91E1F"/>
    <w:rsid w:val="00E91FE8"/>
    <w:rsid w:val="00EA2A61"/>
    <w:rsid w:val="00EA2CC1"/>
    <w:rsid w:val="00EA3A23"/>
    <w:rsid w:val="00EA79E5"/>
    <w:rsid w:val="00EB3FCA"/>
    <w:rsid w:val="00EB4214"/>
    <w:rsid w:val="00EB5789"/>
    <w:rsid w:val="00EB62F8"/>
    <w:rsid w:val="00EC06DA"/>
    <w:rsid w:val="00EC2210"/>
    <w:rsid w:val="00EC5F4B"/>
    <w:rsid w:val="00EC6FFC"/>
    <w:rsid w:val="00ED070B"/>
    <w:rsid w:val="00EF1B66"/>
    <w:rsid w:val="00F02B3D"/>
    <w:rsid w:val="00F044F3"/>
    <w:rsid w:val="00F0604A"/>
    <w:rsid w:val="00F164D2"/>
    <w:rsid w:val="00F17567"/>
    <w:rsid w:val="00F40FEF"/>
    <w:rsid w:val="00F46662"/>
    <w:rsid w:val="00F5082B"/>
    <w:rsid w:val="00F53A38"/>
    <w:rsid w:val="00F6365A"/>
    <w:rsid w:val="00F66FCB"/>
    <w:rsid w:val="00F733C3"/>
    <w:rsid w:val="00F857C2"/>
    <w:rsid w:val="00F85F99"/>
    <w:rsid w:val="00FA06AC"/>
    <w:rsid w:val="00FA4FD2"/>
    <w:rsid w:val="00FA52C1"/>
    <w:rsid w:val="00FA57B7"/>
    <w:rsid w:val="00FB007A"/>
    <w:rsid w:val="00FC36FB"/>
    <w:rsid w:val="00FC4FB4"/>
    <w:rsid w:val="00FC5804"/>
    <w:rsid w:val="00FC6F97"/>
    <w:rsid w:val="00FD28B5"/>
    <w:rsid w:val="00FD5A57"/>
    <w:rsid w:val="00FE5926"/>
    <w:rsid w:val="00FF5E03"/>
    <w:rsid w:val="00FF71E2"/>
    <w:rsid w:val="133E7211"/>
    <w:rsid w:val="197D0652"/>
    <w:rsid w:val="1CA20056"/>
    <w:rsid w:val="1F702B52"/>
    <w:rsid w:val="5D755E52"/>
    <w:rsid w:val="6FAC4078"/>
    <w:rsid w:val="7A5067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4"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qFormat/>
    <w:uiPriority w:val="99"/>
    <w:rPr>
      <w:sz w:val="18"/>
      <w:szCs w:val="18"/>
    </w:rPr>
  </w:style>
  <w:style w:type="paragraph" w:customStyle="1" w:styleId="18">
    <w:name w:val="Default"/>
    <w:qFormat/>
    <w:uiPriority w:val="0"/>
    <w:pPr>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9">
    <w:name w:val="p0"/>
    <w:basedOn w:val="1"/>
    <w:qFormat/>
    <w:uiPriority w:val="0"/>
    <w:pPr>
      <w:widowControl/>
    </w:pPr>
    <w:rPr>
      <w:rFonts w:ascii="Times New Roman" w:hAnsi="Times New Roman" w:eastAsia="宋体" w:cs="Times New Roman"/>
      <w:kern w:val="0"/>
      <w:szCs w:val="21"/>
    </w:rPr>
  </w:style>
  <w:style w:type="paragraph" w:customStyle="1" w:styleId="20">
    <w:name w:val="人大EDP小标题"/>
    <w:basedOn w:val="7"/>
    <w:link w:val="21"/>
    <w:qFormat/>
    <w:uiPriority w:val="0"/>
    <w:pPr>
      <w:spacing w:before="0" w:beforeAutospacing="0" w:after="0" w:afterAutospacing="0" w:line="360" w:lineRule="auto"/>
    </w:pPr>
    <w:rPr>
      <w:rFonts w:ascii="黑体" w:eastAsia="黑体" w:cs="Times New Roman"/>
      <w:b/>
      <w:color w:val="800000"/>
    </w:rPr>
  </w:style>
  <w:style w:type="character" w:customStyle="1" w:styleId="21">
    <w:name w:val="人大EDP小标题 Char"/>
    <w:link w:val="20"/>
    <w:qFormat/>
    <w:uiPriority w:val="0"/>
    <w:rPr>
      <w:rFonts w:ascii="黑体" w:hAnsi="宋体" w:eastAsia="黑体" w:cs="Times New Roman"/>
      <w:b/>
      <w:color w:val="800000"/>
      <w:kern w:val="0"/>
      <w:sz w:val="24"/>
      <w:szCs w:val="24"/>
    </w:rPr>
  </w:style>
  <w:style w:type="character" w:customStyle="1" w:styleId="22">
    <w:name w:val="未处理的提及1"/>
    <w:basedOn w:val="10"/>
    <w:semiHidden/>
    <w:unhideWhenUsed/>
    <w:qFormat/>
    <w:uiPriority w:val="99"/>
    <w:rPr>
      <w:color w:val="808080"/>
      <w:shd w:val="clear" w:color="auto" w:fill="E6E6E6"/>
    </w:rPr>
  </w:style>
  <w:style w:type="character" w:customStyle="1" w:styleId="23">
    <w:name w:val="标题 2 Char"/>
    <w:basedOn w:val="10"/>
    <w:link w:val="2"/>
    <w:qFormat/>
    <w:uiPriority w:val="9"/>
    <w:rPr>
      <w:rFonts w:ascii="宋体" w:hAnsi="宋体" w:eastAsia="宋体" w:cs="宋体"/>
      <w:b/>
      <w:bCs/>
      <w:kern w:val="0"/>
      <w:sz w:val="36"/>
      <w:szCs w:val="36"/>
    </w:rPr>
  </w:style>
  <w:style w:type="character" w:customStyle="1" w:styleId="24">
    <w:name w:val="标题 3 Char"/>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4.jpeg"/><Relationship Id="rId3" Type="http://schemas.openxmlformats.org/officeDocument/2006/relationships/header" Target="header1.xml"/><Relationship Id="rId29" Type="http://schemas.openxmlformats.org/officeDocument/2006/relationships/image" Target="media/image23.jpeg"/><Relationship Id="rId28" Type="http://schemas.openxmlformats.org/officeDocument/2006/relationships/image" Target="media/image22.jpeg"/><Relationship Id="rId27" Type="http://schemas.openxmlformats.org/officeDocument/2006/relationships/image" Target="media/image21.png"/><Relationship Id="rId26" Type="http://schemas.openxmlformats.org/officeDocument/2006/relationships/image" Target="media/image20.jpeg"/><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file:///C:\Users\user\AppData\Roaming\Tencent\Users\408092181\QQ\WinTemp\RichOle\(~9O)13IG%25252525257b(KVW4ZOWEG6OO.jpg" TargetMode="Externa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file:///C:\Documents%252525252520and%252525252520Settings\fanglili\Application%252525252520Data\Tencent\Users\582397\QQ\WinTemp\RichOle\PD%25252525255bX%25252525257bA2%25252525255bF7T26CHNF%25252525257d%2525252525259EID.jpg" TargetMode="Externa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Desktop\2019&#19978;&#24066;&#20844;&#21496;&#33891;&#31192;&#39640;&#32423;&#31649;&#29702;&#35838;&#31243;2018.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11636-AB7E-4D7F-B51D-353E8015888B}">
  <ds:schemaRefs/>
</ds:datastoreItem>
</file>

<file path=docProps/app.xml><?xml version="1.0" encoding="utf-8"?>
<Properties xmlns="http://schemas.openxmlformats.org/officeDocument/2006/extended-properties" xmlns:vt="http://schemas.openxmlformats.org/officeDocument/2006/docPropsVTypes">
  <Template>2019上市公司董秘高级管理课程2018.11</Template>
  <Company>.</Company>
  <Pages>10</Pages>
  <Words>1030</Words>
  <Characters>5874</Characters>
  <Lines>48</Lines>
  <Paragraphs>13</Paragraphs>
  <TotalTime>1</TotalTime>
  <ScaleCrop>false</ScaleCrop>
  <LinksUpToDate>false</LinksUpToDate>
  <CharactersWithSpaces>6891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2019-11-11T09:10:00Z</dcterms:created>
  <dc:creator>演示人</dc:creator>
  <cp:lastModifiedBy>清华总裁班陈伟宏</cp:lastModifiedBy>
  <cp:lastPrinted>2019-06-12T07:48:00Z</cp:lastPrinted>
  <dcterms:modified xsi:type="dcterms:W3CDTF">2020-04-06T16:22:56Z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